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8812D" w14:textId="62F3AC8D" w:rsidR="00254517" w:rsidRPr="004560F5" w:rsidRDefault="00254517" w:rsidP="00254517">
      <w:pPr>
        <w:tabs>
          <w:tab w:val="left" w:pos="1985"/>
        </w:tabs>
        <w:spacing w:after="0"/>
        <w:jc w:val="both"/>
        <w:rPr>
          <w:rFonts w:ascii="Arial" w:hAnsi="Arial" w:cs="Arial"/>
          <w:b/>
          <w:sz w:val="24"/>
          <w:lang w:val="en-US"/>
        </w:rPr>
      </w:pPr>
      <w:r>
        <w:rPr>
          <w:rFonts w:ascii="Arial" w:hAnsi="Arial" w:cs="Arial"/>
          <w:b/>
          <w:sz w:val="24"/>
          <w:lang w:val="en-US"/>
        </w:rPr>
        <w:t>3GPP TSG RAN WG1 Meeting #9</w:t>
      </w:r>
      <w:r w:rsidR="002B3F04">
        <w:rPr>
          <w:rFonts w:ascii="Arial" w:hAnsi="Arial" w:cs="Arial"/>
          <w:b/>
          <w:sz w:val="24"/>
          <w:lang w:val="en-US"/>
        </w:rPr>
        <w:t>7</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4560F5">
        <w:rPr>
          <w:rFonts w:ascii="Arial" w:hAnsi="Arial" w:cs="Arial"/>
          <w:b/>
          <w:sz w:val="24"/>
          <w:lang w:val="en-US"/>
        </w:rPr>
        <w:t>R1-</w:t>
      </w:r>
      <w:r w:rsidR="00D52784">
        <w:rPr>
          <w:rFonts w:ascii="Arial" w:hAnsi="Arial" w:cs="Arial"/>
          <w:b/>
          <w:sz w:val="24"/>
          <w:lang w:val="en-US"/>
        </w:rPr>
        <w:t>190</w:t>
      </w:r>
      <w:bookmarkStart w:id="0" w:name="_GoBack"/>
      <w:bookmarkEnd w:id="0"/>
      <w:r w:rsidR="00D52784">
        <w:rPr>
          <w:rFonts w:ascii="Arial" w:hAnsi="Arial" w:cs="Arial"/>
          <w:b/>
          <w:sz w:val="24"/>
          <w:lang w:val="en-US"/>
        </w:rPr>
        <w:t>6817</w:t>
      </w:r>
    </w:p>
    <w:p w14:paraId="0877B945" w14:textId="4CD4B958" w:rsidR="004B4372" w:rsidRDefault="00C906BF" w:rsidP="004B4372">
      <w:pPr>
        <w:tabs>
          <w:tab w:val="left" w:pos="1985"/>
        </w:tabs>
        <w:spacing w:after="0"/>
        <w:jc w:val="both"/>
        <w:rPr>
          <w:rFonts w:ascii="Arial" w:hAnsi="Arial" w:cs="Arial"/>
          <w:b/>
          <w:sz w:val="24"/>
          <w:lang w:val="en-US"/>
        </w:rPr>
      </w:pPr>
      <w:r w:rsidRPr="00C906BF">
        <w:rPr>
          <w:rFonts w:ascii="Arial" w:hAnsi="Arial" w:cs="Arial"/>
          <w:b/>
          <w:sz w:val="24"/>
          <w:lang w:val="en-US"/>
        </w:rPr>
        <w:t>Reno, USA, May 13th – 17th, 2019</w:t>
      </w:r>
    </w:p>
    <w:p w14:paraId="0203B661" w14:textId="77777777" w:rsidR="002D08B9" w:rsidRPr="00527192" w:rsidRDefault="002D08B9" w:rsidP="004B4372">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3218AD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D32E8">
        <w:rPr>
          <w:rFonts w:ascii="Arial" w:eastAsia="Malgun Gothic" w:hAnsi="Arial" w:cs="Arial"/>
          <w:b/>
          <w:sz w:val="24"/>
          <w:lang w:val="en-US" w:eastAsia="ko-KR"/>
        </w:rPr>
        <w:t xml:space="preserve">On </w:t>
      </w:r>
      <w:r w:rsidR="00A65744">
        <w:rPr>
          <w:rFonts w:ascii="Arial" w:eastAsia="Malgun Gothic" w:hAnsi="Arial" w:cs="Arial"/>
          <w:b/>
          <w:sz w:val="24"/>
          <w:lang w:val="en-US" w:eastAsia="ko-KR"/>
        </w:rPr>
        <w:t>Full Power Uplink Transmission</w:t>
      </w:r>
    </w:p>
    <w:p w14:paraId="442797E2" w14:textId="1262C48B"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w:t>
      </w:r>
      <w:r w:rsidR="00A65744">
        <w:rPr>
          <w:rFonts w:ascii="Arial" w:hAnsi="Arial" w:cs="Arial"/>
          <w:b/>
          <w:sz w:val="24"/>
          <w:lang w:val="en-US"/>
        </w:rPr>
        <w:t>4</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6F48D6EF" w:rsidR="009A0886" w:rsidRDefault="001A6756" w:rsidP="00026770">
      <w:pPr>
        <w:ind w:firstLine="284"/>
        <w:jc w:val="both"/>
        <w:rPr>
          <w:sz w:val="22"/>
          <w:szCs w:val="22"/>
          <w:lang w:eastAsia="zh-CN"/>
        </w:rPr>
      </w:pPr>
      <w:r>
        <w:rPr>
          <w:sz w:val="22"/>
          <w:szCs w:val="22"/>
          <w:lang w:eastAsia="zh-CN"/>
        </w:rPr>
        <w:t xml:space="preserve">In </w:t>
      </w:r>
      <w:r w:rsidR="00482D67">
        <w:rPr>
          <w:sz w:val="22"/>
          <w:szCs w:val="22"/>
          <w:lang w:eastAsia="zh-CN"/>
        </w:rPr>
        <w:t xml:space="preserve">RAN1 </w:t>
      </w:r>
      <w:r w:rsidR="00BF2A22">
        <w:rPr>
          <w:sz w:val="22"/>
          <w:szCs w:val="22"/>
          <w:lang w:eastAsia="zh-CN"/>
        </w:rPr>
        <w:t>#96</w:t>
      </w:r>
      <w:r w:rsidR="00C906BF">
        <w:rPr>
          <w:sz w:val="22"/>
          <w:szCs w:val="22"/>
          <w:lang w:eastAsia="zh-CN"/>
        </w:rPr>
        <w:t>b</w:t>
      </w:r>
      <w:r w:rsidR="00DB4146">
        <w:rPr>
          <w:rFonts w:hint="eastAsia"/>
          <w:sz w:val="22"/>
          <w:szCs w:val="22"/>
          <w:lang w:eastAsia="zh-CN"/>
        </w:rPr>
        <w:t xml:space="preserve"> me</w:t>
      </w:r>
      <w:r w:rsidR="00DB4146">
        <w:rPr>
          <w:sz w:val="22"/>
          <w:szCs w:val="22"/>
          <w:lang w:eastAsia="zh-CN"/>
        </w:rPr>
        <w:t>eting, the following on full power uplink transmission has been agreed</w:t>
      </w:r>
      <w:r w:rsidR="00D67D09">
        <w:rPr>
          <w:sz w:val="22"/>
          <w:szCs w:val="22"/>
          <w:lang w:eastAsia="zh-CN"/>
        </w:rPr>
        <w:t xml:space="preserve"> [1]</w:t>
      </w:r>
      <w:r w:rsidR="001D32E8">
        <w:rPr>
          <w:sz w:val="22"/>
          <w:szCs w:val="22"/>
          <w:lang w:eastAsia="zh-CN"/>
        </w:rPr>
        <w:t>.</w:t>
      </w:r>
    </w:p>
    <w:tbl>
      <w:tblPr>
        <w:tblStyle w:val="TableGrid"/>
        <w:tblW w:w="0" w:type="auto"/>
        <w:tblLook w:val="04A0" w:firstRow="1" w:lastRow="0" w:firstColumn="1" w:lastColumn="0" w:noHBand="0" w:noVBand="1"/>
      </w:tblPr>
      <w:tblGrid>
        <w:gridCol w:w="10160"/>
      </w:tblGrid>
      <w:tr w:rsidR="009569E2" w14:paraId="054DB710" w14:textId="77777777" w:rsidTr="009569E2">
        <w:tc>
          <w:tcPr>
            <w:tcW w:w="10160" w:type="dxa"/>
          </w:tcPr>
          <w:p w14:paraId="6F8C1EE4" w14:textId="77777777" w:rsidR="009569E2" w:rsidRPr="00193AB2" w:rsidRDefault="009569E2" w:rsidP="009569E2">
            <w:pPr>
              <w:ind w:left="1440" w:hanging="1440"/>
              <w:rPr>
                <w:b/>
                <w:highlight w:val="green"/>
                <w:lang w:eastAsia="x-none"/>
              </w:rPr>
            </w:pPr>
            <w:r w:rsidRPr="00193AB2">
              <w:rPr>
                <w:b/>
                <w:highlight w:val="green"/>
                <w:lang w:eastAsia="x-none"/>
              </w:rPr>
              <w:t>Agreement</w:t>
            </w:r>
          </w:p>
          <w:p w14:paraId="6D8A0BEF" w14:textId="77777777" w:rsidR="009569E2" w:rsidRPr="00193AB2" w:rsidRDefault="009569E2" w:rsidP="009569E2">
            <w:r w:rsidRPr="00193AB2">
              <w:t>For the the 2TX and 4TX case, the linear value of power after power scaling, is divided equally among the non-zero PUSCH ports</w:t>
            </w:r>
          </w:p>
          <w:p w14:paraId="63F8BA72" w14:textId="77777777" w:rsidR="009569E2" w:rsidRPr="00647466" w:rsidRDefault="009569E2" w:rsidP="009569E2">
            <w:pPr>
              <w:pStyle w:val="LGTdoc"/>
              <w:numPr>
                <w:ilvl w:val="0"/>
                <w:numId w:val="14"/>
              </w:numPr>
              <w:spacing w:afterLines="0" w:line="240" w:lineRule="auto"/>
              <w:contextualSpacing/>
              <w:rPr>
                <w:sz w:val="20"/>
                <w:szCs w:val="22"/>
                <w:lang w:val="en-US"/>
              </w:rPr>
            </w:pPr>
            <w:r w:rsidRPr="00647466">
              <w:rPr>
                <w:sz w:val="20"/>
                <w:szCs w:val="22"/>
                <w:lang w:val="en-US"/>
              </w:rPr>
              <w:t>The above applies for the cases including when UE transmitting at P_c_max</w:t>
            </w:r>
          </w:p>
          <w:p w14:paraId="58159389" w14:textId="77777777" w:rsidR="009569E2" w:rsidRDefault="009569E2" w:rsidP="009569E2">
            <w:pPr>
              <w:rPr>
                <w:lang w:eastAsia="x-none"/>
              </w:rPr>
            </w:pPr>
          </w:p>
          <w:p w14:paraId="4EC9CCBB" w14:textId="77777777" w:rsidR="009569E2" w:rsidRPr="00F621FA" w:rsidRDefault="009569E2" w:rsidP="009569E2">
            <w:pPr>
              <w:ind w:left="1440" w:hanging="1440"/>
              <w:rPr>
                <w:b/>
                <w:highlight w:val="green"/>
                <w:lang w:eastAsia="x-none"/>
              </w:rPr>
            </w:pPr>
            <w:r w:rsidRPr="00F621FA">
              <w:rPr>
                <w:b/>
                <w:highlight w:val="green"/>
                <w:lang w:eastAsia="x-none"/>
              </w:rPr>
              <w:t>Agreement</w:t>
            </w:r>
          </w:p>
          <w:p w14:paraId="2EBFF33B" w14:textId="77777777" w:rsidR="009569E2" w:rsidRPr="00F621FA" w:rsidRDefault="009569E2" w:rsidP="009569E2">
            <w:r w:rsidRPr="00F621FA">
              <w:t>Supported UE capabilities and supported scheme for UE capability 1</w:t>
            </w:r>
          </w:p>
          <w:p w14:paraId="14E2FB59" w14:textId="77777777" w:rsidR="009569E2" w:rsidRPr="00647466" w:rsidRDefault="009569E2" w:rsidP="009569E2">
            <w:pPr>
              <w:pStyle w:val="LGTdoc"/>
              <w:numPr>
                <w:ilvl w:val="0"/>
                <w:numId w:val="14"/>
              </w:numPr>
              <w:spacing w:afterLines="0" w:line="240" w:lineRule="auto"/>
              <w:contextualSpacing/>
              <w:rPr>
                <w:sz w:val="20"/>
                <w:szCs w:val="22"/>
                <w:lang w:val="en-US"/>
              </w:rPr>
            </w:pPr>
            <w:r w:rsidRPr="00647466">
              <w:rPr>
                <w:sz w:val="20"/>
                <w:szCs w:val="22"/>
                <w:lang w:val="en-US"/>
              </w:rPr>
              <w:t>Option 3</w:t>
            </w:r>
          </w:p>
          <w:p w14:paraId="62D141CC" w14:textId="77777777" w:rsidR="009569E2" w:rsidRPr="00647466" w:rsidRDefault="009569E2" w:rsidP="009569E2">
            <w:pPr>
              <w:pStyle w:val="LGTdoc"/>
              <w:numPr>
                <w:ilvl w:val="0"/>
                <w:numId w:val="14"/>
              </w:numPr>
              <w:spacing w:afterLines="0" w:line="240" w:lineRule="auto"/>
              <w:contextualSpacing/>
              <w:rPr>
                <w:sz w:val="20"/>
                <w:szCs w:val="22"/>
                <w:lang w:val="en-US"/>
              </w:rPr>
            </w:pPr>
            <w:r w:rsidRPr="00647466">
              <w:rPr>
                <w:sz w:val="20"/>
                <w:szCs w:val="22"/>
                <w:lang w:val="en-US"/>
              </w:rPr>
              <w:t>FFS: Whether to additionally support Option 1-2</w:t>
            </w:r>
          </w:p>
          <w:p w14:paraId="10D61F5B" w14:textId="77777777" w:rsidR="009569E2" w:rsidRDefault="009569E2" w:rsidP="009569E2">
            <w:pPr>
              <w:rPr>
                <w:b/>
                <w:highlight w:val="green"/>
              </w:rPr>
            </w:pPr>
          </w:p>
          <w:p w14:paraId="017D9D49" w14:textId="77777777" w:rsidR="009569E2" w:rsidRPr="00AD39A8" w:rsidRDefault="009569E2" w:rsidP="009569E2">
            <w:pPr>
              <w:rPr>
                <w:b/>
                <w:highlight w:val="green"/>
              </w:rPr>
            </w:pPr>
            <w:r w:rsidRPr="00AD39A8">
              <w:rPr>
                <w:b/>
                <w:highlight w:val="green"/>
              </w:rPr>
              <w:t>Agreement</w:t>
            </w:r>
          </w:p>
          <w:p w14:paraId="4B07A7FA" w14:textId="77777777" w:rsidR="009569E2" w:rsidRPr="00AD39A8" w:rsidRDefault="009569E2" w:rsidP="009569E2">
            <w:pPr>
              <w:pStyle w:val="ListParagraph"/>
              <w:ind w:left="0"/>
              <w:rPr>
                <w:rFonts w:ascii="Times New Roman" w:hAnsi="Times New Roman"/>
                <w:szCs w:val="21"/>
              </w:rPr>
            </w:pPr>
            <w:r w:rsidRPr="00AD39A8">
              <w:rPr>
                <w:rFonts w:ascii="Times New Roman" w:hAnsi="Times New Roman"/>
                <w:szCs w:val="21"/>
              </w:rPr>
              <w:t>Regardless of UE capability 1, 2, or 3, signalling of “UL full power tx capability” is supported for UEs with full power uplink transmission capability</w:t>
            </w:r>
          </w:p>
          <w:p w14:paraId="7FC3ECF9" w14:textId="77777777" w:rsidR="009569E2" w:rsidRPr="00647466" w:rsidRDefault="009569E2" w:rsidP="009569E2">
            <w:pPr>
              <w:pStyle w:val="LGTdoc"/>
              <w:numPr>
                <w:ilvl w:val="0"/>
                <w:numId w:val="14"/>
              </w:numPr>
              <w:spacing w:afterLines="0" w:line="240" w:lineRule="auto"/>
              <w:contextualSpacing/>
              <w:rPr>
                <w:sz w:val="20"/>
                <w:szCs w:val="22"/>
                <w:lang w:val="en-US"/>
              </w:rPr>
            </w:pPr>
            <w:r w:rsidRPr="00647466">
              <w:rPr>
                <w:sz w:val="20"/>
                <w:szCs w:val="22"/>
                <w:lang w:val="en-US"/>
              </w:rPr>
              <w:t>FFS: For UE capability 1, if any other information is necessary</w:t>
            </w:r>
          </w:p>
          <w:p w14:paraId="1A66F8E2" w14:textId="77777777" w:rsidR="009569E2" w:rsidRPr="00647466" w:rsidRDefault="009569E2" w:rsidP="009569E2">
            <w:pPr>
              <w:numPr>
                <w:ilvl w:val="0"/>
                <w:numId w:val="14"/>
              </w:numPr>
              <w:overflowPunct/>
              <w:autoSpaceDE/>
              <w:autoSpaceDN/>
              <w:adjustRightInd/>
              <w:spacing w:after="0"/>
              <w:ind w:left="720" w:hanging="320"/>
              <w:textAlignment w:val="auto"/>
              <w:rPr>
                <w:lang w:val="en-US" w:eastAsia="x-none"/>
              </w:rPr>
            </w:pPr>
            <w:r w:rsidRPr="00647466">
              <w:rPr>
                <w:lang w:val="en-US" w:eastAsia="x-none"/>
              </w:rPr>
              <w:t>For UE capability 2 and UE capability 3, in addition to signalling “UL full power tx capability”, further information on UE capability are signalled if needed</w:t>
            </w:r>
          </w:p>
          <w:p w14:paraId="7B66A348" w14:textId="77777777" w:rsidR="009569E2" w:rsidRPr="00647466" w:rsidRDefault="009569E2" w:rsidP="009569E2">
            <w:pPr>
              <w:pStyle w:val="LGTdoc"/>
              <w:numPr>
                <w:ilvl w:val="1"/>
                <w:numId w:val="14"/>
              </w:numPr>
              <w:spacing w:afterLines="0" w:line="240" w:lineRule="auto"/>
              <w:contextualSpacing/>
              <w:rPr>
                <w:sz w:val="20"/>
                <w:szCs w:val="22"/>
                <w:lang w:val="en-US"/>
              </w:rPr>
            </w:pPr>
            <w:r w:rsidRPr="00647466">
              <w:rPr>
                <w:sz w:val="20"/>
                <w:szCs w:val="22"/>
                <w:lang w:val="en-US"/>
              </w:rPr>
              <w:t>FFS: Details such as support of UE capability signaling of supported one or group of TPMI precoder(s) for full power transmission, support different number of SRS ports for resources for codebook, and other UE capability signaling can be introduced</w:t>
            </w:r>
          </w:p>
          <w:p w14:paraId="2B92EF4D" w14:textId="77777777" w:rsidR="009569E2" w:rsidRPr="00647466" w:rsidRDefault="009569E2" w:rsidP="009569E2">
            <w:pPr>
              <w:pStyle w:val="LGTdoc"/>
              <w:numPr>
                <w:ilvl w:val="1"/>
                <w:numId w:val="14"/>
              </w:numPr>
              <w:spacing w:afterLines="0" w:line="240" w:lineRule="auto"/>
              <w:contextualSpacing/>
              <w:rPr>
                <w:sz w:val="20"/>
                <w:szCs w:val="22"/>
                <w:lang w:val="en-US"/>
              </w:rPr>
            </w:pPr>
            <w:r w:rsidRPr="00647466">
              <w:rPr>
                <w:sz w:val="20"/>
                <w:szCs w:val="22"/>
                <w:lang w:val="en-US"/>
              </w:rPr>
              <w:t>FFS: Whether full uplink TX power capability can be explicitly/implicitly derived from the TPMI/TPMI group precoders for full power transmission</w:t>
            </w:r>
          </w:p>
          <w:p w14:paraId="3EF33769" w14:textId="77777777" w:rsidR="009569E2" w:rsidRPr="00AD39A8" w:rsidRDefault="009569E2" w:rsidP="009569E2">
            <w:pPr>
              <w:pStyle w:val="ListParagraph"/>
              <w:ind w:left="0"/>
              <w:rPr>
                <w:rFonts w:ascii="Times New Roman" w:hAnsi="Times New Roman"/>
                <w:szCs w:val="21"/>
              </w:rPr>
            </w:pPr>
            <w:r w:rsidRPr="00AD39A8">
              <w:rPr>
                <w:rFonts w:ascii="Times New Roman" w:hAnsi="Times New Roman"/>
                <w:szCs w:val="21"/>
              </w:rPr>
              <w:t>UEs with full power uplink transmissions are those Rel-16 UEs which can transmit at full power at least for rank1</w:t>
            </w:r>
          </w:p>
          <w:p w14:paraId="13A19A34" w14:textId="77777777" w:rsidR="009569E2" w:rsidRPr="00AD39A8" w:rsidRDefault="009569E2" w:rsidP="009569E2">
            <w:pPr>
              <w:pStyle w:val="ListParagraph"/>
              <w:ind w:left="0"/>
              <w:rPr>
                <w:rFonts w:ascii="Times New Roman" w:hAnsi="Times New Roman"/>
                <w:szCs w:val="21"/>
              </w:rPr>
            </w:pPr>
            <w:r w:rsidRPr="00AD39A8">
              <w:rPr>
                <w:rFonts w:ascii="Times New Roman" w:hAnsi="Times New Roman"/>
                <w:szCs w:val="21"/>
              </w:rPr>
              <w:t>The signalling of above information does not imply any specific UE PA architecture implementation.</w:t>
            </w:r>
          </w:p>
          <w:p w14:paraId="39A57550" w14:textId="77777777" w:rsidR="009569E2" w:rsidRDefault="009569E2" w:rsidP="009569E2">
            <w:pPr>
              <w:rPr>
                <w:b/>
                <w:highlight w:val="green"/>
              </w:rPr>
            </w:pPr>
          </w:p>
          <w:p w14:paraId="1B924F4A" w14:textId="77777777" w:rsidR="009569E2" w:rsidRPr="002F06C5" w:rsidRDefault="009569E2" w:rsidP="009569E2">
            <w:pPr>
              <w:ind w:left="1440" w:hanging="1440"/>
              <w:rPr>
                <w:b/>
                <w:highlight w:val="green"/>
                <w:lang w:eastAsia="x-none"/>
              </w:rPr>
            </w:pPr>
            <w:r w:rsidRPr="002F06C5">
              <w:rPr>
                <w:b/>
                <w:highlight w:val="green"/>
                <w:lang w:eastAsia="x-none"/>
              </w:rPr>
              <w:t>Agreement</w:t>
            </w:r>
          </w:p>
          <w:p w14:paraId="56F87976" w14:textId="77777777" w:rsidR="009569E2" w:rsidRPr="00787D61" w:rsidRDefault="009569E2" w:rsidP="009569E2">
            <w:pPr>
              <w:rPr>
                <w:highlight w:val="cyan"/>
                <w:lang w:eastAsia="zh-CN"/>
              </w:rPr>
            </w:pPr>
            <w:r w:rsidRPr="00F05796">
              <w:rPr>
                <w:lang w:val="fr-FR" w:eastAsia="zh-CN"/>
              </w:rPr>
              <w:lastRenderedPageBreak/>
              <w:t>RAN1 will select one of the</w:t>
            </w:r>
            <w:r w:rsidRPr="00F05796">
              <w:rPr>
                <w:rFonts w:hint="eastAsia"/>
                <w:lang w:eastAsia="zh-CN"/>
              </w:rPr>
              <w:t xml:space="preserve"> </w:t>
            </w:r>
            <w:r w:rsidRPr="00F05796">
              <w:rPr>
                <w:lang w:eastAsia="zh-CN"/>
              </w:rPr>
              <w:t xml:space="preserve">alternative solutions below to support UE capability 2. Further clarification or details are needed for Alt1, Alt3-1, Alt3-2, and Alt5. </w:t>
            </w:r>
          </w:p>
          <w:p w14:paraId="15588AD2" w14:textId="77777777" w:rsidR="009569E2" w:rsidRPr="00647466" w:rsidRDefault="009569E2" w:rsidP="009569E2">
            <w:pPr>
              <w:numPr>
                <w:ilvl w:val="0"/>
                <w:numId w:val="14"/>
              </w:numPr>
              <w:overflowPunct/>
              <w:autoSpaceDE/>
              <w:autoSpaceDN/>
              <w:adjustRightInd/>
              <w:spacing w:after="0"/>
              <w:ind w:left="720" w:hanging="320"/>
              <w:textAlignment w:val="auto"/>
              <w:rPr>
                <w:lang w:val="en-US" w:eastAsia="x-none"/>
              </w:rPr>
            </w:pPr>
            <w:r w:rsidRPr="00647466">
              <w:rPr>
                <w:lang w:val="en-US" w:eastAsia="x-none"/>
              </w:rPr>
              <w:t>A</w:t>
            </w:r>
            <w:r w:rsidRPr="00647466">
              <w:rPr>
                <w:rFonts w:hint="eastAsia"/>
                <w:lang w:val="en-US" w:eastAsia="x-none"/>
              </w:rPr>
              <w:t>lt1:</w:t>
            </w:r>
            <w:r w:rsidRPr="00647466">
              <w:rPr>
                <w:lang w:val="en-US" w:eastAsia="x-none"/>
              </w:rPr>
              <w:t xml:space="preserve"> </w:t>
            </w:r>
            <w:r w:rsidRPr="00647466">
              <w:rPr>
                <w:rFonts w:hint="eastAsia"/>
                <w:lang w:val="en-US" w:eastAsia="x-none"/>
              </w:rPr>
              <w:t xml:space="preserve">Option1-1 </w:t>
            </w:r>
            <w:r w:rsidRPr="00647466">
              <w:rPr>
                <w:lang w:val="en-US" w:eastAsia="x-none"/>
              </w:rPr>
              <w:t>(Support a new codebookSubset for non-coherent and partial-coherent transmission capable UEs, e.g. for 2Tx the new codeboookSubset is all non-antenna selection TPMIs or with only TPMI [1 1] for rank 1)</w:t>
            </w:r>
          </w:p>
          <w:p w14:paraId="00D263CC" w14:textId="77777777" w:rsidR="009569E2" w:rsidRPr="00647466" w:rsidRDefault="009569E2" w:rsidP="009569E2">
            <w:pPr>
              <w:numPr>
                <w:ilvl w:val="0"/>
                <w:numId w:val="14"/>
              </w:numPr>
              <w:overflowPunct/>
              <w:autoSpaceDE/>
              <w:autoSpaceDN/>
              <w:adjustRightInd/>
              <w:spacing w:after="0"/>
              <w:ind w:left="720" w:hanging="320"/>
              <w:textAlignment w:val="auto"/>
              <w:rPr>
                <w:lang w:val="en-US" w:eastAsia="x-none"/>
              </w:rPr>
            </w:pPr>
            <w:r w:rsidRPr="00647466">
              <w:rPr>
                <w:lang w:val="en-US" w:eastAsia="x-none"/>
              </w:rPr>
              <w:t>Alt3-1: Option3+Option2 (</w:t>
            </w:r>
            <w:r w:rsidRPr="00647466">
              <w:rPr>
                <w:rFonts w:hint="eastAsia"/>
                <w:lang w:val="en-US" w:eastAsia="x-none"/>
              </w:rPr>
              <w:t>M</w:t>
            </w:r>
            <w:r w:rsidRPr="00647466">
              <w:rPr>
                <w:lang w:val="en-US" w:eastAsia="x-none"/>
              </w:rPr>
              <w:t>ultiple SRS resources with different number of SRS port(s</w:t>
            </w:r>
            <w:r w:rsidRPr="00647466">
              <w:rPr>
                <w:rFonts w:hint="eastAsia"/>
                <w:lang w:val="en-US" w:eastAsia="x-none"/>
              </w:rPr>
              <w:t>)</w:t>
            </w:r>
            <w:r w:rsidRPr="00647466">
              <w:rPr>
                <w:lang w:val="en-US" w:eastAsia="x-none"/>
              </w:rPr>
              <w:t xml:space="preserve"> in each resource)</w:t>
            </w:r>
          </w:p>
          <w:p w14:paraId="224B43DB" w14:textId="77777777" w:rsidR="009569E2" w:rsidRPr="002F06C5" w:rsidRDefault="009569E2" w:rsidP="009569E2">
            <w:pPr>
              <w:pStyle w:val="ListParagraph"/>
              <w:numPr>
                <w:ilvl w:val="1"/>
                <w:numId w:val="15"/>
              </w:numPr>
              <w:overflowPunct w:val="0"/>
              <w:autoSpaceDE w:val="0"/>
              <w:autoSpaceDN w:val="0"/>
              <w:adjustRightInd w:val="0"/>
              <w:contextualSpacing/>
              <w:textAlignment w:val="baseline"/>
              <w:rPr>
                <w:rFonts w:ascii="Times New Roman" w:eastAsia="宋体" w:hAnsi="Times New Roman"/>
              </w:rPr>
            </w:pPr>
            <w:r w:rsidRPr="002F06C5">
              <w:rPr>
                <w:rFonts w:ascii="Times New Roman" w:eastAsia="宋体" w:hAnsi="Times New Roman"/>
              </w:rPr>
              <w:t>FFS: Whether to additionally support Option 1-2</w:t>
            </w:r>
          </w:p>
          <w:p w14:paraId="3C76EB9F" w14:textId="77777777" w:rsidR="009569E2" w:rsidRPr="00DE2F22" w:rsidRDefault="009569E2" w:rsidP="009569E2">
            <w:pPr>
              <w:numPr>
                <w:ilvl w:val="0"/>
                <w:numId w:val="14"/>
              </w:numPr>
              <w:overflowPunct/>
              <w:autoSpaceDE/>
              <w:autoSpaceDN/>
              <w:adjustRightInd/>
              <w:spacing w:after="0"/>
              <w:ind w:left="720" w:hanging="320"/>
              <w:textAlignment w:val="auto"/>
              <w:rPr>
                <w:lang w:val="en-US" w:eastAsia="x-none"/>
              </w:rPr>
            </w:pPr>
            <w:r w:rsidRPr="00DE2F22">
              <w:rPr>
                <w:lang w:val="en-US" w:eastAsia="x-none"/>
              </w:rPr>
              <w:t>Alt3-2: Option3+Option2+</w:t>
            </w:r>
            <w:r w:rsidRPr="00DE2F22">
              <w:rPr>
                <w:rFonts w:hint="eastAsia"/>
                <w:lang w:val="en-US" w:eastAsia="x-none"/>
              </w:rPr>
              <w:t xml:space="preserve"> Option1-1</w:t>
            </w:r>
            <w:r w:rsidRPr="00DE2F22">
              <w:rPr>
                <w:lang w:val="en-US" w:eastAsia="x-none"/>
              </w:rPr>
              <w:t xml:space="preserve"> (</w:t>
            </w:r>
            <w:r w:rsidRPr="00DE2F22">
              <w:rPr>
                <w:rFonts w:hint="eastAsia"/>
                <w:lang w:val="en-US" w:eastAsia="x-none"/>
              </w:rPr>
              <w:t>M</w:t>
            </w:r>
            <w:r w:rsidRPr="00DE2F22">
              <w:rPr>
                <w:lang w:val="en-US" w:eastAsia="x-none"/>
              </w:rPr>
              <w:t>ultiple SRS resources with different number of SRS port(s</w:t>
            </w:r>
            <w:r w:rsidRPr="00DE2F22">
              <w:rPr>
                <w:rFonts w:hint="eastAsia"/>
                <w:lang w:val="en-US" w:eastAsia="x-none"/>
              </w:rPr>
              <w:t>)</w:t>
            </w:r>
            <w:r w:rsidRPr="00DE2F22">
              <w:rPr>
                <w:lang w:val="en-US" w:eastAsia="x-none"/>
              </w:rPr>
              <w:t xml:space="preserve"> in each resource)</w:t>
            </w:r>
          </w:p>
          <w:p w14:paraId="393A078B" w14:textId="77777777" w:rsidR="009569E2" w:rsidRPr="00DE2F22" w:rsidRDefault="009569E2" w:rsidP="009569E2">
            <w:pPr>
              <w:numPr>
                <w:ilvl w:val="0"/>
                <w:numId w:val="14"/>
              </w:numPr>
              <w:overflowPunct/>
              <w:autoSpaceDE/>
              <w:autoSpaceDN/>
              <w:adjustRightInd/>
              <w:spacing w:after="0"/>
              <w:ind w:left="720" w:hanging="320"/>
              <w:textAlignment w:val="auto"/>
              <w:rPr>
                <w:lang w:val="en-US" w:eastAsia="x-none"/>
              </w:rPr>
            </w:pPr>
            <w:r w:rsidRPr="00DE2F22">
              <w:rPr>
                <w:lang w:val="en-US" w:eastAsia="x-none"/>
              </w:rPr>
              <w:t>Alt5: FDM multi-port simultaneous transmission</w:t>
            </w:r>
          </w:p>
          <w:p w14:paraId="62A594E3" w14:textId="77777777" w:rsidR="009569E2" w:rsidRDefault="009569E2" w:rsidP="00026770">
            <w:pPr>
              <w:rPr>
                <w:sz w:val="22"/>
                <w:szCs w:val="22"/>
                <w:lang w:eastAsia="zh-CN"/>
              </w:rPr>
            </w:pPr>
          </w:p>
        </w:tc>
      </w:tr>
    </w:tbl>
    <w:p w14:paraId="7B825AD3" w14:textId="77777777" w:rsidR="009569E2" w:rsidRDefault="009569E2" w:rsidP="00026770">
      <w:pPr>
        <w:ind w:firstLine="284"/>
        <w:jc w:val="both"/>
        <w:rPr>
          <w:sz w:val="22"/>
          <w:szCs w:val="22"/>
          <w:lang w:eastAsia="zh-CN"/>
        </w:rPr>
      </w:pPr>
    </w:p>
    <w:p w14:paraId="28D0451C" w14:textId="21004FD7" w:rsidR="00A0767A" w:rsidRDefault="008A7CE5" w:rsidP="00026770">
      <w:pPr>
        <w:ind w:firstLine="284"/>
        <w:jc w:val="both"/>
        <w:rPr>
          <w:sz w:val="22"/>
          <w:szCs w:val="22"/>
          <w:lang w:eastAsia="zh-CN"/>
        </w:rPr>
      </w:pPr>
      <w:r>
        <w:rPr>
          <w:sz w:val="22"/>
          <w:szCs w:val="22"/>
          <w:lang w:eastAsia="zh-CN"/>
        </w:rPr>
        <w:t xml:space="preserve">In this contribution, we provide some discussions on </w:t>
      </w:r>
      <w:r w:rsidR="00A65744">
        <w:rPr>
          <w:sz w:val="22"/>
          <w:szCs w:val="22"/>
          <w:lang w:eastAsia="zh-CN"/>
        </w:rPr>
        <w:t>uplink full power transmission</w:t>
      </w:r>
      <w:r w:rsidR="00015B2E">
        <w:rPr>
          <w:sz w:val="22"/>
          <w:szCs w:val="22"/>
          <w:lang w:eastAsia="zh-CN"/>
        </w:rPr>
        <w:t>.</w:t>
      </w:r>
    </w:p>
    <w:p w14:paraId="58F80269" w14:textId="191FC8EA" w:rsidR="00332158" w:rsidRPr="00332158" w:rsidRDefault="00A65744" w:rsidP="00332158">
      <w:pPr>
        <w:pStyle w:val="Heading1"/>
        <w:numPr>
          <w:ilvl w:val="0"/>
          <w:numId w:val="5"/>
        </w:numPr>
        <w:pBdr>
          <w:top w:val="single" w:sz="12" w:space="4" w:color="auto"/>
        </w:pBdr>
        <w:rPr>
          <w:rFonts w:cs="Arial"/>
          <w:lang w:val="en-US"/>
        </w:rPr>
      </w:pPr>
      <w:r>
        <w:rPr>
          <w:rFonts w:cs="Arial"/>
          <w:lang w:val="en-US"/>
        </w:rPr>
        <w:t>Discussion</w:t>
      </w:r>
    </w:p>
    <w:p w14:paraId="4C198AC7" w14:textId="58367BF3" w:rsidR="00067824" w:rsidRDefault="00067824" w:rsidP="00067824">
      <w:pPr>
        <w:pStyle w:val="Heading2"/>
      </w:pPr>
      <w:r>
        <w:t>2.1 UE capability 2</w:t>
      </w:r>
    </w:p>
    <w:p w14:paraId="3DE319A2" w14:textId="77777777" w:rsidR="00A97444" w:rsidRDefault="00482D67" w:rsidP="00A65744">
      <w:pPr>
        <w:ind w:firstLine="284"/>
        <w:jc w:val="both"/>
        <w:rPr>
          <w:sz w:val="22"/>
          <w:szCs w:val="22"/>
        </w:rPr>
      </w:pPr>
      <w:r>
        <w:rPr>
          <w:sz w:val="22"/>
          <w:szCs w:val="22"/>
        </w:rPr>
        <w:t xml:space="preserve">In last meeting, </w:t>
      </w:r>
      <w:r w:rsidR="009569E2">
        <w:rPr>
          <w:sz w:val="22"/>
          <w:szCs w:val="22"/>
        </w:rPr>
        <w:t>there were 3 alternatives to support full power transmission for UE capability 2</w:t>
      </w:r>
      <w:r w:rsidR="00A97444">
        <w:rPr>
          <w:sz w:val="22"/>
          <w:szCs w:val="22"/>
        </w:rPr>
        <w:t xml:space="preserve">, where Alt1 and Alt3 are different ways to define spec to support antenna virtualization, which does not have fundamental difference. Alt5 is to apply a port cycling for different RB sets. </w:t>
      </w:r>
    </w:p>
    <w:p w14:paraId="5FE89687" w14:textId="709C4213" w:rsidR="009569E2" w:rsidRDefault="00A97444" w:rsidP="00A65744">
      <w:pPr>
        <w:ind w:firstLine="284"/>
        <w:jc w:val="both"/>
        <w:rPr>
          <w:sz w:val="22"/>
          <w:szCs w:val="22"/>
        </w:rPr>
      </w:pPr>
      <w:r>
        <w:rPr>
          <w:sz w:val="22"/>
          <w:szCs w:val="22"/>
        </w:rPr>
        <w:t>Therefore t</w:t>
      </w:r>
      <w:r w:rsidR="009569E2">
        <w:rPr>
          <w:sz w:val="22"/>
          <w:szCs w:val="22"/>
        </w:rPr>
        <w:t xml:space="preserve">he 3 alternatives can be divided into 2 categories: </w:t>
      </w:r>
    </w:p>
    <w:p w14:paraId="4B93CFBF" w14:textId="3E6DAB3B" w:rsidR="009569E2" w:rsidRPr="009569E2" w:rsidRDefault="009569E2" w:rsidP="009569E2">
      <w:pPr>
        <w:pStyle w:val="ListParagraph"/>
        <w:numPr>
          <w:ilvl w:val="0"/>
          <w:numId w:val="16"/>
        </w:numPr>
        <w:jc w:val="both"/>
        <w:rPr>
          <w:rFonts w:ascii="Times New Roman" w:hAnsi="Times New Roman"/>
        </w:rPr>
      </w:pPr>
      <w:r w:rsidRPr="009569E2">
        <w:rPr>
          <w:rFonts w:ascii="Times New Roman" w:hAnsi="Times New Roman"/>
        </w:rPr>
        <w:t>Cat1: Support full power transmission based on antenna virtualization</w:t>
      </w:r>
      <w:r>
        <w:rPr>
          <w:rFonts w:ascii="Times New Roman" w:hAnsi="Times New Roman"/>
        </w:rPr>
        <w:t xml:space="preserve"> (Alt1, Alt3)</w:t>
      </w:r>
    </w:p>
    <w:p w14:paraId="6B57B747" w14:textId="4918BD35" w:rsidR="009569E2" w:rsidRPr="009569E2" w:rsidRDefault="009569E2" w:rsidP="009569E2">
      <w:pPr>
        <w:pStyle w:val="ListParagraph"/>
        <w:numPr>
          <w:ilvl w:val="0"/>
          <w:numId w:val="16"/>
        </w:numPr>
        <w:jc w:val="both"/>
        <w:rPr>
          <w:rFonts w:ascii="Times New Roman" w:hAnsi="Times New Roman"/>
        </w:rPr>
      </w:pPr>
      <w:r w:rsidRPr="009569E2">
        <w:rPr>
          <w:rFonts w:ascii="Times New Roman" w:hAnsi="Times New Roman"/>
        </w:rPr>
        <w:t>Cat2: Support full power transmission based on port cycling in FDMed manner</w:t>
      </w:r>
      <w:r>
        <w:rPr>
          <w:rFonts w:ascii="Times New Roman" w:hAnsi="Times New Roman"/>
        </w:rPr>
        <w:t xml:space="preserve"> (Alt5)</w:t>
      </w:r>
    </w:p>
    <w:p w14:paraId="5F8BB213" w14:textId="1F1F181B" w:rsidR="009569E2" w:rsidRPr="009569E2" w:rsidRDefault="009569E2" w:rsidP="009569E2">
      <w:pPr>
        <w:jc w:val="both"/>
      </w:pPr>
      <w:r w:rsidRPr="009569E2">
        <w:t xml:space="preserve"> </w:t>
      </w:r>
    </w:p>
    <w:p w14:paraId="426A539B" w14:textId="409A665F" w:rsidR="00250244" w:rsidRDefault="009569E2" w:rsidP="00A65744">
      <w:pPr>
        <w:ind w:firstLine="284"/>
        <w:jc w:val="both"/>
        <w:rPr>
          <w:sz w:val="22"/>
          <w:szCs w:val="22"/>
        </w:rPr>
      </w:pPr>
      <w:r>
        <w:rPr>
          <w:sz w:val="22"/>
          <w:szCs w:val="22"/>
        </w:rPr>
        <w:t xml:space="preserve">In Rel-15, Cat1 is applied for PUSCH scheduled by DCI format 0_0 and DCI format 0_1 when number of SRS port is 1. By Cat2, UE can transmit PUSCH in different RB sets by different port. Then to support full power transmission, for 2Tx UE, gNB cannot schedule 1 PRB, and for 4Tx UE, gNB cannot schedule less than 4 PRBs. </w:t>
      </w:r>
    </w:p>
    <w:p w14:paraId="55A8310E" w14:textId="59D77892" w:rsidR="00250244" w:rsidRDefault="009569E2" w:rsidP="00A65744">
      <w:pPr>
        <w:ind w:firstLine="284"/>
        <w:jc w:val="both"/>
        <w:rPr>
          <w:sz w:val="22"/>
          <w:szCs w:val="22"/>
        </w:rPr>
      </w:pPr>
      <w:r>
        <w:rPr>
          <w:sz w:val="22"/>
          <w:szCs w:val="22"/>
        </w:rPr>
        <w:t>There</w:t>
      </w:r>
      <w:r w:rsidR="00250244">
        <w:rPr>
          <w:sz w:val="22"/>
          <w:szCs w:val="22"/>
        </w:rPr>
        <w:t xml:space="preserve"> is supposed to be</w:t>
      </w:r>
      <w:r>
        <w:rPr>
          <w:sz w:val="22"/>
          <w:szCs w:val="22"/>
        </w:rPr>
        <w:t xml:space="preserve"> some benefit for Cat2 with regard to link adaptation accuracy</w:t>
      </w:r>
      <w:r w:rsidR="00250244">
        <w:rPr>
          <w:sz w:val="22"/>
          <w:szCs w:val="22"/>
        </w:rPr>
        <w:t xml:space="preserve"> compared to Cat1. However in real implementation, there could be some potential issues for link adaptation accuracy for Cat2 as well. The issue is from bandwidth mismatch between PUSCH and SRS. For Cat2, different port is applied to different RB sets, but the RB set relies on the scheduled PRBs, which could be different in different transmission occasion and different from the allocated RBs in SRS. </w:t>
      </w:r>
      <w:r w:rsidR="00A97444">
        <w:rPr>
          <w:sz w:val="22"/>
          <w:szCs w:val="22"/>
        </w:rPr>
        <w:t>Thus the measured MCS from SRS could be based on a different port cycling pattern from that applied to the scheduled RBs. The OLLA may help to reduce impact of MCS mismatch, but since the resource allocation could be different for different transmission occasion, the OLLA cannot always help. Thus there could still be some link adaptation accuracy issue for Cat2 as well.</w:t>
      </w:r>
    </w:p>
    <w:p w14:paraId="7E307657" w14:textId="77777777" w:rsidR="0008775D" w:rsidRDefault="00250244" w:rsidP="00A65744">
      <w:pPr>
        <w:ind w:firstLine="284"/>
        <w:jc w:val="both"/>
        <w:rPr>
          <w:sz w:val="22"/>
          <w:szCs w:val="22"/>
        </w:rPr>
      </w:pPr>
      <w:r>
        <w:rPr>
          <w:sz w:val="22"/>
          <w:szCs w:val="22"/>
        </w:rPr>
        <w:t xml:space="preserve">Table 1 illustrates system level evaluation results for both Cat1 and Cat2, where it can be observed that antenna virtualization could have better performance than port cycling. </w:t>
      </w:r>
      <w:r w:rsidR="001A066D">
        <w:rPr>
          <w:sz w:val="22"/>
          <w:szCs w:val="22"/>
        </w:rPr>
        <w:t>The detail simulation assumpt</w:t>
      </w:r>
      <w:r w:rsidR="00827376">
        <w:rPr>
          <w:sz w:val="22"/>
          <w:szCs w:val="22"/>
        </w:rPr>
        <w:t>ion is illustrated in Table A-1</w:t>
      </w:r>
      <w:r w:rsidR="00A97444">
        <w:rPr>
          <w:sz w:val="22"/>
          <w:szCs w:val="22"/>
        </w:rPr>
        <w:t xml:space="preserve"> in appendix</w:t>
      </w:r>
      <w:r w:rsidR="00827376">
        <w:rPr>
          <w:sz w:val="22"/>
          <w:szCs w:val="22"/>
        </w:rPr>
        <w:t>, where the maximum number of layers is restricted to be 1 in order to observe more impact on capability2 UE</w:t>
      </w:r>
      <w:r w:rsidR="00A97444">
        <w:rPr>
          <w:sz w:val="22"/>
          <w:szCs w:val="22"/>
        </w:rPr>
        <w:t>, and the MIMO transmission scheme is based on SU-MIMO</w:t>
      </w:r>
      <w:r w:rsidR="00827376">
        <w:rPr>
          <w:sz w:val="22"/>
          <w:szCs w:val="22"/>
        </w:rPr>
        <w:t>.</w:t>
      </w:r>
      <w:r w:rsidR="00A97444">
        <w:rPr>
          <w:sz w:val="22"/>
          <w:szCs w:val="22"/>
        </w:rPr>
        <w:t xml:space="preserve"> </w:t>
      </w:r>
      <w:r w:rsidR="0008775D">
        <w:rPr>
          <w:sz w:val="22"/>
          <w:szCs w:val="22"/>
        </w:rPr>
        <w:t xml:space="preserve">To observe more impact from the power scaling, only open-loop power control is modelled. </w:t>
      </w:r>
    </w:p>
    <w:p w14:paraId="53FEF888" w14:textId="2438DAC6" w:rsidR="009569E2" w:rsidRDefault="00250244" w:rsidP="00A65744">
      <w:pPr>
        <w:ind w:firstLine="284"/>
        <w:jc w:val="both"/>
        <w:rPr>
          <w:sz w:val="22"/>
          <w:szCs w:val="22"/>
        </w:rPr>
      </w:pPr>
      <w:r>
        <w:rPr>
          <w:sz w:val="22"/>
          <w:szCs w:val="22"/>
        </w:rPr>
        <w:t xml:space="preserve"> </w:t>
      </w:r>
    </w:p>
    <w:p w14:paraId="14945ECF" w14:textId="27BD5F44" w:rsidR="00DB560E" w:rsidRPr="00DB560E" w:rsidRDefault="00DB560E" w:rsidP="00DB560E">
      <w:pPr>
        <w:ind w:firstLine="284"/>
        <w:jc w:val="center"/>
        <w:rPr>
          <w:b/>
          <w:sz w:val="22"/>
          <w:szCs w:val="22"/>
        </w:rPr>
      </w:pPr>
      <w:r w:rsidRPr="00DB560E">
        <w:rPr>
          <w:b/>
          <w:sz w:val="22"/>
          <w:szCs w:val="22"/>
        </w:rPr>
        <w:lastRenderedPageBreak/>
        <w:t>Table 1: System level evaluation results for capability2 UE</w:t>
      </w:r>
    </w:p>
    <w:tbl>
      <w:tblPr>
        <w:tblW w:w="10056" w:type="dxa"/>
        <w:jc w:val="center"/>
        <w:tblLook w:val="04A0" w:firstRow="1" w:lastRow="0" w:firstColumn="1" w:lastColumn="0" w:noHBand="0" w:noVBand="1"/>
      </w:tblPr>
      <w:tblGrid>
        <w:gridCol w:w="2137"/>
        <w:gridCol w:w="856"/>
        <w:gridCol w:w="1064"/>
        <w:gridCol w:w="856"/>
        <w:gridCol w:w="1064"/>
        <w:gridCol w:w="856"/>
        <w:gridCol w:w="1064"/>
        <w:gridCol w:w="856"/>
        <w:gridCol w:w="1303"/>
      </w:tblGrid>
      <w:tr w:rsidR="00DB560E" w:rsidRPr="00DB560E" w14:paraId="3896ECB9" w14:textId="77777777" w:rsidTr="00F309D2">
        <w:trPr>
          <w:trHeight w:val="288"/>
          <w:jc w:val="center"/>
        </w:trPr>
        <w:tc>
          <w:tcPr>
            <w:tcW w:w="2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AAB6E" w14:textId="26FC8441"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69F7F4A"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5% UPT [Mbps]</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FE31C0B"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50% UPT [Mbps]</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6B78386"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95% UPT [Mbps]</w:t>
            </w:r>
          </w:p>
        </w:tc>
        <w:tc>
          <w:tcPr>
            <w:tcW w:w="2159"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3D87FE"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Average UPT [Mbps]</w:t>
            </w:r>
          </w:p>
        </w:tc>
      </w:tr>
      <w:tr w:rsidR="00DB560E" w:rsidRPr="00DB560E" w14:paraId="7AFC49FC" w14:textId="77777777" w:rsidTr="00F309D2">
        <w:trPr>
          <w:trHeight w:val="288"/>
          <w:jc w:val="center"/>
        </w:trPr>
        <w:tc>
          <w:tcPr>
            <w:tcW w:w="2137" w:type="dxa"/>
            <w:tcBorders>
              <w:top w:val="nil"/>
              <w:left w:val="single" w:sz="4" w:space="0" w:color="auto"/>
              <w:bottom w:val="single" w:sz="4" w:space="0" w:color="auto"/>
              <w:right w:val="single" w:sz="4" w:space="0" w:color="auto"/>
            </w:tcBorders>
            <w:shd w:val="clear" w:color="auto" w:fill="auto"/>
            <w:noWrap/>
            <w:vAlign w:val="bottom"/>
            <w:hideMark/>
          </w:tcPr>
          <w:p w14:paraId="110439B2" w14:textId="1784563D"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Fully coherent UE</w:t>
            </w:r>
          </w:p>
        </w:tc>
        <w:tc>
          <w:tcPr>
            <w:tcW w:w="856" w:type="dxa"/>
            <w:tcBorders>
              <w:top w:val="nil"/>
              <w:left w:val="nil"/>
              <w:bottom w:val="single" w:sz="4" w:space="0" w:color="auto"/>
              <w:right w:val="single" w:sz="4" w:space="0" w:color="auto"/>
            </w:tcBorders>
            <w:shd w:val="clear" w:color="auto" w:fill="auto"/>
            <w:noWrap/>
            <w:vAlign w:val="bottom"/>
            <w:hideMark/>
          </w:tcPr>
          <w:p w14:paraId="6A2615E3"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0.0675</w:t>
            </w:r>
          </w:p>
        </w:tc>
        <w:tc>
          <w:tcPr>
            <w:tcW w:w="1064" w:type="dxa"/>
            <w:tcBorders>
              <w:top w:val="nil"/>
              <w:left w:val="nil"/>
              <w:bottom w:val="single" w:sz="4" w:space="0" w:color="auto"/>
              <w:right w:val="single" w:sz="4" w:space="0" w:color="auto"/>
            </w:tcBorders>
            <w:shd w:val="clear" w:color="auto" w:fill="auto"/>
            <w:noWrap/>
            <w:vAlign w:val="bottom"/>
            <w:hideMark/>
          </w:tcPr>
          <w:p w14:paraId="52229675"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100.00%</w:t>
            </w:r>
          </w:p>
        </w:tc>
        <w:tc>
          <w:tcPr>
            <w:tcW w:w="856" w:type="dxa"/>
            <w:tcBorders>
              <w:top w:val="nil"/>
              <w:left w:val="nil"/>
              <w:bottom w:val="single" w:sz="4" w:space="0" w:color="auto"/>
              <w:right w:val="single" w:sz="4" w:space="0" w:color="auto"/>
            </w:tcBorders>
            <w:shd w:val="clear" w:color="auto" w:fill="auto"/>
            <w:noWrap/>
            <w:vAlign w:val="bottom"/>
            <w:hideMark/>
          </w:tcPr>
          <w:p w14:paraId="13F2DD0D"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0.2196</w:t>
            </w:r>
          </w:p>
        </w:tc>
        <w:tc>
          <w:tcPr>
            <w:tcW w:w="1064" w:type="dxa"/>
            <w:tcBorders>
              <w:top w:val="nil"/>
              <w:left w:val="nil"/>
              <w:bottom w:val="single" w:sz="4" w:space="0" w:color="auto"/>
              <w:right w:val="single" w:sz="4" w:space="0" w:color="auto"/>
            </w:tcBorders>
            <w:shd w:val="clear" w:color="auto" w:fill="auto"/>
            <w:noWrap/>
            <w:vAlign w:val="bottom"/>
            <w:hideMark/>
          </w:tcPr>
          <w:p w14:paraId="6716E754"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100.00%</w:t>
            </w:r>
          </w:p>
        </w:tc>
        <w:tc>
          <w:tcPr>
            <w:tcW w:w="856" w:type="dxa"/>
            <w:tcBorders>
              <w:top w:val="nil"/>
              <w:left w:val="nil"/>
              <w:bottom w:val="single" w:sz="4" w:space="0" w:color="auto"/>
              <w:right w:val="single" w:sz="4" w:space="0" w:color="auto"/>
            </w:tcBorders>
            <w:shd w:val="clear" w:color="auto" w:fill="auto"/>
            <w:noWrap/>
            <w:vAlign w:val="bottom"/>
            <w:hideMark/>
          </w:tcPr>
          <w:p w14:paraId="74B576C7"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0.6397</w:t>
            </w:r>
          </w:p>
        </w:tc>
        <w:tc>
          <w:tcPr>
            <w:tcW w:w="1064" w:type="dxa"/>
            <w:tcBorders>
              <w:top w:val="nil"/>
              <w:left w:val="nil"/>
              <w:bottom w:val="single" w:sz="4" w:space="0" w:color="auto"/>
              <w:right w:val="single" w:sz="4" w:space="0" w:color="auto"/>
            </w:tcBorders>
            <w:shd w:val="clear" w:color="auto" w:fill="auto"/>
            <w:noWrap/>
            <w:vAlign w:val="bottom"/>
            <w:hideMark/>
          </w:tcPr>
          <w:p w14:paraId="709A9465"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100.00%</w:t>
            </w:r>
          </w:p>
        </w:tc>
        <w:tc>
          <w:tcPr>
            <w:tcW w:w="856" w:type="dxa"/>
            <w:tcBorders>
              <w:top w:val="nil"/>
              <w:left w:val="nil"/>
              <w:bottom w:val="single" w:sz="4" w:space="0" w:color="auto"/>
              <w:right w:val="single" w:sz="4" w:space="0" w:color="auto"/>
            </w:tcBorders>
            <w:shd w:val="clear" w:color="auto" w:fill="auto"/>
            <w:noWrap/>
            <w:vAlign w:val="bottom"/>
            <w:hideMark/>
          </w:tcPr>
          <w:p w14:paraId="753BDA4E"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0.288</w:t>
            </w:r>
          </w:p>
        </w:tc>
        <w:tc>
          <w:tcPr>
            <w:tcW w:w="1303" w:type="dxa"/>
            <w:tcBorders>
              <w:top w:val="nil"/>
              <w:left w:val="nil"/>
              <w:bottom w:val="single" w:sz="4" w:space="0" w:color="auto"/>
              <w:right w:val="single" w:sz="4" w:space="0" w:color="auto"/>
            </w:tcBorders>
            <w:shd w:val="clear" w:color="auto" w:fill="auto"/>
            <w:noWrap/>
            <w:vAlign w:val="bottom"/>
            <w:hideMark/>
          </w:tcPr>
          <w:p w14:paraId="1432C6AB"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100.00%</w:t>
            </w:r>
          </w:p>
        </w:tc>
      </w:tr>
      <w:tr w:rsidR="00DB560E" w:rsidRPr="00DB560E" w14:paraId="31D32C86" w14:textId="77777777" w:rsidTr="00F309D2">
        <w:trPr>
          <w:trHeight w:val="288"/>
          <w:jc w:val="center"/>
        </w:trPr>
        <w:tc>
          <w:tcPr>
            <w:tcW w:w="2137" w:type="dxa"/>
            <w:tcBorders>
              <w:top w:val="nil"/>
              <w:left w:val="single" w:sz="4" w:space="0" w:color="auto"/>
              <w:bottom w:val="single" w:sz="4" w:space="0" w:color="auto"/>
              <w:right w:val="single" w:sz="4" w:space="0" w:color="auto"/>
            </w:tcBorders>
            <w:shd w:val="clear" w:color="auto" w:fill="auto"/>
            <w:noWrap/>
            <w:vAlign w:val="bottom"/>
            <w:hideMark/>
          </w:tcPr>
          <w:p w14:paraId="3BAF4DC5" w14:textId="164A2841"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Cat 1</w:t>
            </w:r>
            <w:r w:rsidR="00F309D2">
              <w:rPr>
                <w:rFonts w:ascii="Calibri" w:eastAsia="Times New Roman" w:hAnsi="Calibri" w:cs="Calibri"/>
                <w:color w:val="000000"/>
                <w:sz w:val="22"/>
                <w:szCs w:val="22"/>
                <w:lang w:val="en-US" w:eastAsia="zh-CN"/>
              </w:rPr>
              <w:t xml:space="preserve"> (virtualization)</w:t>
            </w:r>
          </w:p>
        </w:tc>
        <w:tc>
          <w:tcPr>
            <w:tcW w:w="856" w:type="dxa"/>
            <w:tcBorders>
              <w:top w:val="nil"/>
              <w:left w:val="nil"/>
              <w:bottom w:val="single" w:sz="4" w:space="0" w:color="auto"/>
              <w:right w:val="single" w:sz="4" w:space="0" w:color="auto"/>
            </w:tcBorders>
            <w:shd w:val="clear" w:color="auto" w:fill="auto"/>
            <w:noWrap/>
            <w:vAlign w:val="bottom"/>
            <w:hideMark/>
          </w:tcPr>
          <w:p w14:paraId="4F4756E8"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0.0647</w:t>
            </w:r>
          </w:p>
        </w:tc>
        <w:tc>
          <w:tcPr>
            <w:tcW w:w="1064" w:type="dxa"/>
            <w:tcBorders>
              <w:top w:val="nil"/>
              <w:left w:val="nil"/>
              <w:bottom w:val="single" w:sz="4" w:space="0" w:color="auto"/>
              <w:right w:val="single" w:sz="4" w:space="0" w:color="auto"/>
            </w:tcBorders>
            <w:shd w:val="clear" w:color="auto" w:fill="auto"/>
            <w:noWrap/>
            <w:vAlign w:val="bottom"/>
            <w:hideMark/>
          </w:tcPr>
          <w:p w14:paraId="7EDDE209"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95.85%</w:t>
            </w:r>
          </w:p>
        </w:tc>
        <w:tc>
          <w:tcPr>
            <w:tcW w:w="856" w:type="dxa"/>
            <w:tcBorders>
              <w:top w:val="nil"/>
              <w:left w:val="nil"/>
              <w:bottom w:val="single" w:sz="4" w:space="0" w:color="auto"/>
              <w:right w:val="single" w:sz="4" w:space="0" w:color="auto"/>
            </w:tcBorders>
            <w:shd w:val="clear" w:color="auto" w:fill="auto"/>
            <w:noWrap/>
            <w:vAlign w:val="bottom"/>
            <w:hideMark/>
          </w:tcPr>
          <w:p w14:paraId="213578B8"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0.1836</w:t>
            </w:r>
          </w:p>
        </w:tc>
        <w:tc>
          <w:tcPr>
            <w:tcW w:w="1064" w:type="dxa"/>
            <w:tcBorders>
              <w:top w:val="nil"/>
              <w:left w:val="nil"/>
              <w:bottom w:val="single" w:sz="4" w:space="0" w:color="auto"/>
              <w:right w:val="single" w:sz="4" w:space="0" w:color="auto"/>
            </w:tcBorders>
            <w:shd w:val="clear" w:color="auto" w:fill="auto"/>
            <w:noWrap/>
            <w:vAlign w:val="bottom"/>
            <w:hideMark/>
          </w:tcPr>
          <w:p w14:paraId="1B64F1A7"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83.61%</w:t>
            </w:r>
          </w:p>
        </w:tc>
        <w:tc>
          <w:tcPr>
            <w:tcW w:w="856" w:type="dxa"/>
            <w:tcBorders>
              <w:top w:val="nil"/>
              <w:left w:val="nil"/>
              <w:bottom w:val="single" w:sz="4" w:space="0" w:color="auto"/>
              <w:right w:val="single" w:sz="4" w:space="0" w:color="auto"/>
            </w:tcBorders>
            <w:shd w:val="clear" w:color="auto" w:fill="auto"/>
            <w:noWrap/>
            <w:vAlign w:val="bottom"/>
            <w:hideMark/>
          </w:tcPr>
          <w:p w14:paraId="0A976019"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0.5928</w:t>
            </w:r>
          </w:p>
        </w:tc>
        <w:tc>
          <w:tcPr>
            <w:tcW w:w="1064" w:type="dxa"/>
            <w:tcBorders>
              <w:top w:val="nil"/>
              <w:left w:val="nil"/>
              <w:bottom w:val="single" w:sz="4" w:space="0" w:color="auto"/>
              <w:right w:val="single" w:sz="4" w:space="0" w:color="auto"/>
            </w:tcBorders>
            <w:shd w:val="clear" w:color="auto" w:fill="auto"/>
            <w:noWrap/>
            <w:vAlign w:val="bottom"/>
            <w:hideMark/>
          </w:tcPr>
          <w:p w14:paraId="6C4E5D0C"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92.67%</w:t>
            </w:r>
          </w:p>
        </w:tc>
        <w:tc>
          <w:tcPr>
            <w:tcW w:w="856" w:type="dxa"/>
            <w:tcBorders>
              <w:top w:val="nil"/>
              <w:left w:val="nil"/>
              <w:bottom w:val="single" w:sz="4" w:space="0" w:color="auto"/>
              <w:right w:val="single" w:sz="4" w:space="0" w:color="auto"/>
            </w:tcBorders>
            <w:shd w:val="clear" w:color="auto" w:fill="auto"/>
            <w:noWrap/>
            <w:vAlign w:val="bottom"/>
            <w:hideMark/>
          </w:tcPr>
          <w:p w14:paraId="15547785"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0.2553</w:t>
            </w:r>
          </w:p>
        </w:tc>
        <w:tc>
          <w:tcPr>
            <w:tcW w:w="1303" w:type="dxa"/>
            <w:tcBorders>
              <w:top w:val="nil"/>
              <w:left w:val="nil"/>
              <w:bottom w:val="single" w:sz="4" w:space="0" w:color="auto"/>
              <w:right w:val="single" w:sz="4" w:space="0" w:color="auto"/>
            </w:tcBorders>
            <w:shd w:val="clear" w:color="auto" w:fill="auto"/>
            <w:noWrap/>
            <w:vAlign w:val="bottom"/>
            <w:hideMark/>
          </w:tcPr>
          <w:p w14:paraId="6479DAFE"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88.65%</w:t>
            </w:r>
          </w:p>
        </w:tc>
      </w:tr>
      <w:tr w:rsidR="00DB560E" w:rsidRPr="00DB560E" w14:paraId="25143DD2" w14:textId="77777777" w:rsidTr="00F309D2">
        <w:trPr>
          <w:trHeight w:val="288"/>
          <w:jc w:val="center"/>
        </w:trPr>
        <w:tc>
          <w:tcPr>
            <w:tcW w:w="2137" w:type="dxa"/>
            <w:tcBorders>
              <w:top w:val="nil"/>
              <w:left w:val="single" w:sz="4" w:space="0" w:color="auto"/>
              <w:bottom w:val="single" w:sz="4" w:space="0" w:color="auto"/>
              <w:right w:val="single" w:sz="4" w:space="0" w:color="auto"/>
            </w:tcBorders>
            <w:shd w:val="clear" w:color="auto" w:fill="auto"/>
            <w:noWrap/>
            <w:vAlign w:val="bottom"/>
            <w:hideMark/>
          </w:tcPr>
          <w:p w14:paraId="0D5FD9E3" w14:textId="7EA6095E"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Cat 2</w:t>
            </w:r>
            <w:r w:rsidR="00F309D2">
              <w:rPr>
                <w:rFonts w:ascii="Calibri" w:eastAsia="Times New Roman" w:hAnsi="Calibri" w:cs="Calibri"/>
                <w:color w:val="000000"/>
                <w:sz w:val="22"/>
                <w:szCs w:val="22"/>
                <w:lang w:val="en-US" w:eastAsia="zh-CN"/>
              </w:rPr>
              <w:t xml:space="preserve"> (port cycling)</w:t>
            </w:r>
          </w:p>
        </w:tc>
        <w:tc>
          <w:tcPr>
            <w:tcW w:w="856" w:type="dxa"/>
            <w:tcBorders>
              <w:top w:val="nil"/>
              <w:left w:val="nil"/>
              <w:bottom w:val="single" w:sz="4" w:space="0" w:color="auto"/>
              <w:right w:val="single" w:sz="4" w:space="0" w:color="auto"/>
            </w:tcBorders>
            <w:shd w:val="clear" w:color="auto" w:fill="auto"/>
            <w:noWrap/>
            <w:vAlign w:val="bottom"/>
            <w:hideMark/>
          </w:tcPr>
          <w:p w14:paraId="31369EB3"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0.061</w:t>
            </w:r>
          </w:p>
        </w:tc>
        <w:tc>
          <w:tcPr>
            <w:tcW w:w="1064" w:type="dxa"/>
            <w:tcBorders>
              <w:top w:val="nil"/>
              <w:left w:val="nil"/>
              <w:bottom w:val="single" w:sz="4" w:space="0" w:color="auto"/>
              <w:right w:val="single" w:sz="4" w:space="0" w:color="auto"/>
            </w:tcBorders>
            <w:shd w:val="clear" w:color="auto" w:fill="auto"/>
            <w:noWrap/>
            <w:vAlign w:val="bottom"/>
            <w:hideMark/>
          </w:tcPr>
          <w:p w14:paraId="17730C93"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90.37%</w:t>
            </w:r>
          </w:p>
        </w:tc>
        <w:tc>
          <w:tcPr>
            <w:tcW w:w="856" w:type="dxa"/>
            <w:tcBorders>
              <w:top w:val="nil"/>
              <w:left w:val="nil"/>
              <w:bottom w:val="single" w:sz="4" w:space="0" w:color="auto"/>
              <w:right w:val="single" w:sz="4" w:space="0" w:color="auto"/>
            </w:tcBorders>
            <w:shd w:val="clear" w:color="auto" w:fill="auto"/>
            <w:noWrap/>
            <w:vAlign w:val="bottom"/>
            <w:hideMark/>
          </w:tcPr>
          <w:p w14:paraId="33B62B2F"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0.1401</w:t>
            </w:r>
          </w:p>
        </w:tc>
        <w:tc>
          <w:tcPr>
            <w:tcW w:w="1064" w:type="dxa"/>
            <w:tcBorders>
              <w:top w:val="nil"/>
              <w:left w:val="nil"/>
              <w:bottom w:val="single" w:sz="4" w:space="0" w:color="auto"/>
              <w:right w:val="single" w:sz="4" w:space="0" w:color="auto"/>
            </w:tcBorders>
            <w:shd w:val="clear" w:color="auto" w:fill="auto"/>
            <w:noWrap/>
            <w:vAlign w:val="bottom"/>
            <w:hideMark/>
          </w:tcPr>
          <w:p w14:paraId="6EA3845C"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63.80%</w:t>
            </w:r>
          </w:p>
        </w:tc>
        <w:tc>
          <w:tcPr>
            <w:tcW w:w="856" w:type="dxa"/>
            <w:tcBorders>
              <w:top w:val="nil"/>
              <w:left w:val="nil"/>
              <w:bottom w:val="single" w:sz="4" w:space="0" w:color="auto"/>
              <w:right w:val="single" w:sz="4" w:space="0" w:color="auto"/>
            </w:tcBorders>
            <w:shd w:val="clear" w:color="auto" w:fill="auto"/>
            <w:noWrap/>
            <w:vAlign w:val="bottom"/>
            <w:hideMark/>
          </w:tcPr>
          <w:p w14:paraId="1219B8E8"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0.4808</w:t>
            </w:r>
          </w:p>
        </w:tc>
        <w:tc>
          <w:tcPr>
            <w:tcW w:w="1064" w:type="dxa"/>
            <w:tcBorders>
              <w:top w:val="nil"/>
              <w:left w:val="nil"/>
              <w:bottom w:val="single" w:sz="4" w:space="0" w:color="auto"/>
              <w:right w:val="single" w:sz="4" w:space="0" w:color="auto"/>
            </w:tcBorders>
            <w:shd w:val="clear" w:color="auto" w:fill="auto"/>
            <w:noWrap/>
            <w:vAlign w:val="bottom"/>
            <w:hideMark/>
          </w:tcPr>
          <w:p w14:paraId="7FD75CF1"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75.16%</w:t>
            </w:r>
          </w:p>
        </w:tc>
        <w:tc>
          <w:tcPr>
            <w:tcW w:w="856" w:type="dxa"/>
            <w:tcBorders>
              <w:top w:val="nil"/>
              <w:left w:val="nil"/>
              <w:bottom w:val="single" w:sz="4" w:space="0" w:color="auto"/>
              <w:right w:val="single" w:sz="4" w:space="0" w:color="auto"/>
            </w:tcBorders>
            <w:shd w:val="clear" w:color="auto" w:fill="auto"/>
            <w:noWrap/>
            <w:vAlign w:val="bottom"/>
            <w:hideMark/>
          </w:tcPr>
          <w:p w14:paraId="04158064"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0.2032</w:t>
            </w:r>
          </w:p>
        </w:tc>
        <w:tc>
          <w:tcPr>
            <w:tcW w:w="1303" w:type="dxa"/>
            <w:tcBorders>
              <w:top w:val="nil"/>
              <w:left w:val="nil"/>
              <w:bottom w:val="single" w:sz="4" w:space="0" w:color="auto"/>
              <w:right w:val="single" w:sz="4" w:space="0" w:color="auto"/>
            </w:tcBorders>
            <w:shd w:val="clear" w:color="auto" w:fill="auto"/>
            <w:noWrap/>
            <w:vAlign w:val="bottom"/>
            <w:hideMark/>
          </w:tcPr>
          <w:p w14:paraId="47EB331A" w14:textId="77777777" w:rsidR="00DB560E" w:rsidRPr="00DB560E" w:rsidRDefault="00DB560E" w:rsidP="00DB560E">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DB560E">
              <w:rPr>
                <w:rFonts w:ascii="Calibri" w:eastAsia="Times New Roman" w:hAnsi="Calibri" w:cs="Calibri"/>
                <w:color w:val="000000"/>
                <w:sz w:val="22"/>
                <w:szCs w:val="22"/>
                <w:lang w:val="en-US" w:eastAsia="zh-CN"/>
              </w:rPr>
              <w:t>70.56%</w:t>
            </w:r>
          </w:p>
        </w:tc>
      </w:tr>
    </w:tbl>
    <w:p w14:paraId="78143B09" w14:textId="77777777" w:rsidR="001A066D" w:rsidRDefault="001A066D" w:rsidP="00DB560E">
      <w:pPr>
        <w:ind w:firstLine="284"/>
        <w:jc w:val="center"/>
        <w:rPr>
          <w:sz w:val="22"/>
          <w:szCs w:val="22"/>
        </w:rPr>
      </w:pPr>
    </w:p>
    <w:p w14:paraId="3B29BA89" w14:textId="1CFC7580" w:rsidR="001A066D" w:rsidRDefault="00A97444" w:rsidP="00A65744">
      <w:pPr>
        <w:ind w:firstLine="284"/>
        <w:jc w:val="both"/>
        <w:rPr>
          <w:sz w:val="22"/>
          <w:szCs w:val="22"/>
        </w:rPr>
      </w:pPr>
      <w:r>
        <w:rPr>
          <w:sz w:val="22"/>
          <w:szCs w:val="22"/>
        </w:rPr>
        <w:t xml:space="preserve">To support antenna virtualization, </w:t>
      </w:r>
      <w:r w:rsidR="001A066D">
        <w:rPr>
          <w:sz w:val="22"/>
          <w:szCs w:val="22"/>
        </w:rPr>
        <w:t>Alt1 and Alt3 could be considered as different spec impacts to support antenna virtualization. However, since Alt3-1 has been partially supported in Rel-15, it is straight-forward to support Alt3-1, where different SRS resources for CB can be configured with different number of antenna ports.</w:t>
      </w:r>
      <w:r>
        <w:rPr>
          <w:sz w:val="22"/>
          <w:szCs w:val="22"/>
        </w:rPr>
        <w:t xml:space="preserve"> </w:t>
      </w:r>
      <w:r w:rsidR="0008775D">
        <w:rPr>
          <w:sz w:val="22"/>
          <w:szCs w:val="22"/>
        </w:rPr>
        <w:t>Another possible way is to use some lower layer signalling to change the SRS parameters</w:t>
      </w:r>
      <w:r w:rsidR="00676366">
        <w:rPr>
          <w:sz w:val="22"/>
          <w:szCs w:val="22"/>
        </w:rPr>
        <w:t xml:space="preserve"> to avoid RRC reconfiguration overhead</w:t>
      </w:r>
      <w:r w:rsidR="0008775D">
        <w:rPr>
          <w:sz w:val="22"/>
          <w:szCs w:val="22"/>
        </w:rPr>
        <w:t xml:space="preserve">, e.g. number of antenna ports. </w:t>
      </w:r>
    </w:p>
    <w:p w14:paraId="1962B0AF" w14:textId="5B14B18C" w:rsidR="00250244" w:rsidRDefault="00250244" w:rsidP="00A65744">
      <w:pPr>
        <w:ind w:firstLine="284"/>
        <w:jc w:val="both"/>
        <w:rPr>
          <w:b/>
          <w:i/>
          <w:sz w:val="22"/>
          <w:szCs w:val="22"/>
        </w:rPr>
      </w:pPr>
      <w:r w:rsidRPr="001A066D">
        <w:rPr>
          <w:b/>
          <w:i/>
          <w:sz w:val="22"/>
          <w:szCs w:val="22"/>
        </w:rPr>
        <w:t xml:space="preserve">Observation 1: </w:t>
      </w:r>
      <w:r w:rsidR="001A066D" w:rsidRPr="001A066D">
        <w:rPr>
          <w:b/>
          <w:i/>
          <w:sz w:val="22"/>
          <w:szCs w:val="22"/>
        </w:rPr>
        <w:t>For capability2 UE, the p</w:t>
      </w:r>
      <w:r w:rsidRPr="001A066D">
        <w:rPr>
          <w:b/>
          <w:i/>
          <w:sz w:val="22"/>
          <w:szCs w:val="22"/>
        </w:rPr>
        <w:t>er</w:t>
      </w:r>
      <w:r w:rsidR="001A066D" w:rsidRPr="001A066D">
        <w:rPr>
          <w:b/>
          <w:i/>
          <w:sz w:val="22"/>
          <w:szCs w:val="22"/>
        </w:rPr>
        <w:t>formance of antenna virtualization is better than port cycling.</w:t>
      </w:r>
    </w:p>
    <w:p w14:paraId="3353F9E6" w14:textId="4ACD7E6D" w:rsidR="001A066D" w:rsidRDefault="001A066D" w:rsidP="00A65744">
      <w:pPr>
        <w:ind w:firstLine="284"/>
        <w:jc w:val="both"/>
        <w:rPr>
          <w:b/>
          <w:i/>
          <w:sz w:val="22"/>
          <w:szCs w:val="22"/>
        </w:rPr>
      </w:pPr>
      <w:r>
        <w:rPr>
          <w:b/>
          <w:i/>
          <w:sz w:val="22"/>
          <w:szCs w:val="22"/>
        </w:rPr>
        <w:t>Proposal 1: To support full power transmission for capability 2 UE, Alt3 should be supported, where Alt3-1 is slightly preferred compared to Alt3-2.</w:t>
      </w:r>
    </w:p>
    <w:p w14:paraId="03BFBF74" w14:textId="1BF12207" w:rsidR="001A066D" w:rsidRDefault="001A066D" w:rsidP="001A066D">
      <w:pPr>
        <w:pStyle w:val="Heading2"/>
      </w:pPr>
      <w:r>
        <w:t>2.2 UE capability 3</w:t>
      </w:r>
    </w:p>
    <w:p w14:paraId="2C574200" w14:textId="4CA27A1A" w:rsidR="003733D1" w:rsidRDefault="001A066D" w:rsidP="001A066D">
      <w:pPr>
        <w:ind w:firstLine="284"/>
        <w:jc w:val="both"/>
        <w:rPr>
          <w:sz w:val="22"/>
          <w:szCs w:val="22"/>
        </w:rPr>
      </w:pPr>
      <w:r>
        <w:rPr>
          <w:sz w:val="22"/>
          <w:szCs w:val="22"/>
        </w:rPr>
        <w:t>For UE capability 3, a UE can support full power transmission for some antenna ports. Thus UE is able to support full power transmission for some TPMIs, where the “strong” antenna ports are enabled. Then when such precoders are indicated, UE does not need to additionally scale the transmission power.</w:t>
      </w:r>
      <w:r w:rsidR="003E43E9">
        <w:rPr>
          <w:sz w:val="22"/>
          <w:szCs w:val="22"/>
        </w:rPr>
        <w:t xml:space="preserve"> Therefore for capability3 UE, UE does not need to additionally scale the transmission power for some precoders.</w:t>
      </w:r>
    </w:p>
    <w:p w14:paraId="0CB322CA" w14:textId="103310B0" w:rsidR="001A066D" w:rsidRPr="001A066D" w:rsidRDefault="001A066D" w:rsidP="001A066D">
      <w:pPr>
        <w:ind w:firstLine="284"/>
        <w:jc w:val="both"/>
        <w:rPr>
          <w:b/>
          <w:i/>
          <w:sz w:val="22"/>
          <w:szCs w:val="22"/>
        </w:rPr>
      </w:pPr>
      <w:r w:rsidRPr="001A066D">
        <w:rPr>
          <w:b/>
          <w:i/>
          <w:sz w:val="22"/>
          <w:szCs w:val="22"/>
        </w:rPr>
        <w:t>Proposal 2: For capability3 UE, UE does not need to additionally scale the transmission power for some precoders.</w:t>
      </w:r>
    </w:p>
    <w:p w14:paraId="663B8499" w14:textId="3464C911" w:rsidR="006F4F5A" w:rsidRPr="006F4F5A" w:rsidRDefault="006F4F5A" w:rsidP="006F4F5A">
      <w:pPr>
        <w:pStyle w:val="Heading2"/>
      </w:pPr>
      <w:r w:rsidRPr="006F4F5A">
        <w:t>2.</w:t>
      </w:r>
      <w:r w:rsidR="001A066D">
        <w:t>3</w:t>
      </w:r>
      <w:r w:rsidRPr="006F4F5A">
        <w:t xml:space="preserve"> UE capability </w:t>
      </w:r>
      <w:r w:rsidR="009A2085">
        <w:t>signalling</w:t>
      </w:r>
    </w:p>
    <w:p w14:paraId="7B575457" w14:textId="1D3B0FAD" w:rsidR="006F4F5A" w:rsidRDefault="009A2085" w:rsidP="00A65744">
      <w:pPr>
        <w:ind w:firstLine="284"/>
        <w:jc w:val="both"/>
        <w:rPr>
          <w:sz w:val="22"/>
          <w:szCs w:val="22"/>
        </w:rPr>
      </w:pPr>
      <w:r>
        <w:rPr>
          <w:sz w:val="22"/>
          <w:szCs w:val="22"/>
        </w:rPr>
        <w:t>Based on the agreements in last meeting, there are two options for UE to report how it supports full power transmission:</w:t>
      </w:r>
    </w:p>
    <w:p w14:paraId="7DD51C16" w14:textId="14017DAF" w:rsidR="009A2085" w:rsidRDefault="009A2085" w:rsidP="00A65744">
      <w:pPr>
        <w:ind w:firstLine="284"/>
        <w:jc w:val="both"/>
        <w:rPr>
          <w:sz w:val="22"/>
          <w:szCs w:val="22"/>
        </w:rPr>
      </w:pPr>
      <w:r>
        <w:rPr>
          <w:sz w:val="22"/>
          <w:szCs w:val="22"/>
        </w:rPr>
        <w:t>Option 1: UE reports whether it supports full power transmission per precoder</w:t>
      </w:r>
    </w:p>
    <w:p w14:paraId="6D3B38DE" w14:textId="60D97B6D" w:rsidR="009A2085" w:rsidRDefault="009A2085" w:rsidP="00A65744">
      <w:pPr>
        <w:ind w:firstLine="284"/>
        <w:jc w:val="both"/>
        <w:rPr>
          <w:sz w:val="22"/>
          <w:szCs w:val="22"/>
        </w:rPr>
      </w:pPr>
      <w:r>
        <w:rPr>
          <w:sz w:val="22"/>
          <w:szCs w:val="22"/>
        </w:rPr>
        <w:t>Option 2: UE reports its power scaling scheme for full power transmission</w:t>
      </w:r>
    </w:p>
    <w:p w14:paraId="1260E5B5" w14:textId="54487FD6" w:rsidR="009A2085" w:rsidRDefault="009A2085" w:rsidP="00A65744">
      <w:pPr>
        <w:ind w:firstLine="284"/>
        <w:jc w:val="both"/>
        <w:rPr>
          <w:sz w:val="22"/>
          <w:szCs w:val="22"/>
        </w:rPr>
      </w:pPr>
      <w:r>
        <w:rPr>
          <w:sz w:val="22"/>
          <w:szCs w:val="22"/>
        </w:rPr>
        <w:t>The details of option 2 is unclear. To support UE capability 1-3, the straight-forward way is to report whether UE supports full power transmission per precoder. If UE reports it supports full power transmission for all non-coherent precoders, the UE falls into UE capability 1 category. If UE reports it supports full power transmission for a subset of non-coherent transmission, the UE belongs to UE capability 3. If UE reports it cannot support full power transmission for all non-coherent precoders, the UE is for UE capability 2. Therefore option 1 could provide enough information to gNB.</w:t>
      </w:r>
    </w:p>
    <w:p w14:paraId="256C4EEA" w14:textId="38057CF9" w:rsidR="009A0DD0" w:rsidRPr="009A0DD0" w:rsidRDefault="009A0DD0" w:rsidP="00A65744">
      <w:pPr>
        <w:ind w:firstLine="284"/>
        <w:jc w:val="both"/>
        <w:rPr>
          <w:b/>
          <w:i/>
          <w:sz w:val="22"/>
          <w:szCs w:val="22"/>
        </w:rPr>
      </w:pPr>
      <w:r w:rsidRPr="009A0DD0">
        <w:rPr>
          <w:b/>
          <w:i/>
          <w:sz w:val="22"/>
          <w:szCs w:val="22"/>
        </w:rPr>
        <w:t>Observation 2: To support UE reports whether it supports full power transmission per precoder could support all types of UE capability.</w:t>
      </w:r>
    </w:p>
    <w:p w14:paraId="7C5D1EFD" w14:textId="7A7533A9" w:rsidR="009A2085" w:rsidRPr="009A2085" w:rsidRDefault="009A2085" w:rsidP="00A65744">
      <w:pPr>
        <w:ind w:firstLine="284"/>
        <w:jc w:val="both"/>
        <w:rPr>
          <w:b/>
          <w:i/>
          <w:sz w:val="22"/>
          <w:szCs w:val="22"/>
        </w:rPr>
      </w:pPr>
      <w:r w:rsidRPr="009A2085">
        <w:rPr>
          <w:b/>
          <w:i/>
          <w:sz w:val="22"/>
          <w:szCs w:val="22"/>
        </w:rPr>
        <w:t xml:space="preserve">Proposal </w:t>
      </w:r>
      <w:r w:rsidR="003733D1">
        <w:rPr>
          <w:b/>
          <w:i/>
          <w:sz w:val="22"/>
          <w:szCs w:val="22"/>
        </w:rPr>
        <w:t>3</w:t>
      </w:r>
      <w:r w:rsidRPr="009A2085">
        <w:rPr>
          <w:b/>
          <w:i/>
          <w:sz w:val="22"/>
          <w:szCs w:val="22"/>
        </w:rPr>
        <w:t>: On UE capability signalling, it should be supported that UE reports whether it supports full power transmission per precoder, and when UE does not report corresponding capability, it means UE does not support full power transmission for non-coherent/partial-coherent based precoders.</w:t>
      </w:r>
    </w:p>
    <w:p w14:paraId="11868B19" w14:textId="046AEE35" w:rsidR="00566E05" w:rsidRPr="003733D1" w:rsidRDefault="003733D1" w:rsidP="003733D1">
      <w:pPr>
        <w:pStyle w:val="Heading2"/>
      </w:pPr>
      <w:r w:rsidRPr="003733D1">
        <w:lastRenderedPageBreak/>
        <w:t>2.</w:t>
      </w:r>
      <w:r w:rsidR="00EA4256">
        <w:t>4</w:t>
      </w:r>
      <w:r w:rsidRPr="003733D1">
        <w:t xml:space="preserve"> Full power transmission for </w:t>
      </w:r>
      <w:r>
        <w:t xml:space="preserve">PUSCH associated with </w:t>
      </w:r>
      <w:r w:rsidRPr="003733D1">
        <w:t>PT-RS</w:t>
      </w:r>
    </w:p>
    <w:p w14:paraId="295E014F" w14:textId="5813CB5C" w:rsidR="00566E05" w:rsidRDefault="003733D1" w:rsidP="00566E05">
      <w:pPr>
        <w:ind w:firstLine="284"/>
        <w:jc w:val="both"/>
        <w:rPr>
          <w:sz w:val="22"/>
          <w:szCs w:val="22"/>
        </w:rPr>
      </w:pPr>
      <w:r>
        <w:rPr>
          <w:sz w:val="22"/>
          <w:szCs w:val="22"/>
        </w:rPr>
        <w:t>I</w:t>
      </w:r>
      <w:r w:rsidR="00566E05">
        <w:rPr>
          <w:sz w:val="22"/>
          <w:szCs w:val="22"/>
        </w:rPr>
        <w:t xml:space="preserve">n Rel-15, non-codebook based transmission could support full power transmission when PT-RS is not present. But when PT-RS is present, UE is not able to support full power transmission for rank&gt;1 case. According to the </w:t>
      </w:r>
      <w:r w:rsidR="00AE202D">
        <w:rPr>
          <w:sz w:val="22"/>
          <w:szCs w:val="22"/>
        </w:rPr>
        <w:t>text</w:t>
      </w:r>
      <w:r w:rsidR="00566E05">
        <w:rPr>
          <w:sz w:val="22"/>
          <w:szCs w:val="22"/>
        </w:rPr>
        <w:t xml:space="preserve"> defined in 38.214 below, for non-codebook based transmission, the UL-PTRS-power can only be set to “00”. Thus there would be some power reduction for symbol</w:t>
      </w:r>
      <w:r w:rsidR="00AE202D">
        <w:rPr>
          <w:sz w:val="22"/>
          <w:szCs w:val="22"/>
        </w:rPr>
        <w:t>s</w:t>
      </w:r>
      <w:r w:rsidR="00566E05">
        <w:rPr>
          <w:sz w:val="22"/>
          <w:szCs w:val="22"/>
        </w:rPr>
        <w:t xml:space="preserve"> with PT-RS, which would result in different transmission power for PUSCH symbols with and without PT-RS</w:t>
      </w:r>
      <w:r w:rsidR="001B51F0">
        <w:rPr>
          <w:sz w:val="22"/>
          <w:szCs w:val="22"/>
        </w:rPr>
        <w:t>, as well as performance degradation</w:t>
      </w:r>
      <w:r w:rsidR="00566E05">
        <w:rPr>
          <w:sz w:val="22"/>
          <w:szCs w:val="22"/>
        </w:rPr>
        <w:t xml:space="preserve">. To support full power transmission for non-codebook based transmission, it should be supported that </w:t>
      </w:r>
      <w:r w:rsidR="001B51F0" w:rsidRPr="001B51F0">
        <w:rPr>
          <w:i/>
          <w:sz w:val="22"/>
          <w:szCs w:val="22"/>
        </w:rPr>
        <w:t>ptrs-Power</w:t>
      </w:r>
      <w:r w:rsidR="00566E05">
        <w:rPr>
          <w:sz w:val="22"/>
          <w:szCs w:val="22"/>
        </w:rPr>
        <w:t xml:space="preserve"> could be set to “01”.</w:t>
      </w:r>
      <w:r w:rsidR="00445EE7">
        <w:rPr>
          <w:sz w:val="22"/>
          <w:szCs w:val="22"/>
        </w:rPr>
        <w:t xml:space="preserve"> </w:t>
      </w:r>
    </w:p>
    <w:tbl>
      <w:tblPr>
        <w:tblStyle w:val="TableGrid"/>
        <w:tblW w:w="0" w:type="auto"/>
        <w:tblLook w:val="04A0" w:firstRow="1" w:lastRow="0" w:firstColumn="1" w:lastColumn="0" w:noHBand="0" w:noVBand="1"/>
      </w:tblPr>
      <w:tblGrid>
        <w:gridCol w:w="10160"/>
      </w:tblGrid>
      <w:tr w:rsidR="00566E05" w14:paraId="0B0246BB" w14:textId="77777777" w:rsidTr="00566E05">
        <w:tc>
          <w:tcPr>
            <w:tcW w:w="10160" w:type="dxa"/>
          </w:tcPr>
          <w:p w14:paraId="176DAF65" w14:textId="77777777" w:rsidR="00566E05" w:rsidRDefault="00566E05" w:rsidP="00566E05">
            <w:r>
              <w:t>W</w:t>
            </w:r>
            <w:r w:rsidRPr="001F56DD">
              <w:t xml:space="preserve">hen the UE is scheduled with </w:t>
            </w:r>
            <w:r w:rsidRPr="00CD75C1">
              <w:rPr>
                <w:i/>
              </w:rPr>
              <w:t>Q</w:t>
            </w:r>
            <w:r w:rsidRPr="00CD75C1">
              <w:rPr>
                <w:i/>
                <w:vertAlign w:val="subscript"/>
              </w:rPr>
              <w:t>p</w:t>
            </w:r>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71603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9.2pt" o:ole="">
                  <v:imagedata r:id="rId11" o:title=""/>
                </v:shape>
                <o:OLEObject Type="Embed" ProgID="Equation.3" ShapeID="_x0000_i1025" DrawAspect="Content" ObjectID="_1618290988" r:id="rId12"/>
              </w:object>
            </w:r>
            <w:r>
              <w:t>,</w:t>
            </w:r>
          </w:p>
          <w:p w14:paraId="65EE8231" w14:textId="77777777" w:rsidR="00566E05" w:rsidRDefault="00566E05" w:rsidP="00566E05">
            <w:pPr>
              <w:pStyle w:val="B1"/>
            </w:pPr>
            <w:r>
              <w:t>-</w:t>
            </w:r>
            <w:r>
              <w:tab/>
            </w:r>
            <w:r w:rsidRPr="001F56DD">
              <w:t xml:space="preserve">If the UE is configured with higher layer parameter </w:t>
            </w:r>
            <w:r w:rsidRPr="00450CE8">
              <w:rPr>
                <w:i/>
              </w:rPr>
              <w:t>ptrs-Power</w:t>
            </w:r>
            <w:r w:rsidRPr="001F56DD">
              <w:t>, the PUSCH to PT-RS power ratio per layer per RE</w:t>
            </w:r>
            <w:r>
              <w:t xml:space="preserve"> </w:t>
            </w:r>
            <w:r w:rsidRPr="001F56DD">
              <w:rPr>
                <w:position w:val="-10"/>
              </w:rPr>
              <w:object w:dxaOrig="700" w:dyaOrig="340" w14:anchorId="138F3965">
                <v:shape id="_x0000_i1026" type="#_x0000_t75" style="width:35.4pt;height:17.4pt" o:ole="">
                  <v:imagedata r:id="rId13" o:title=""/>
                </v:shape>
                <o:OLEObject Type="Embed" ProgID="Equation.3" ShapeID="_x0000_i1026" DrawAspect="Content" ObjectID="_1618290989" r:id="rId14"/>
              </w:object>
            </w:r>
            <w:r w:rsidRPr="001B1B4C">
              <w:t xml:space="preserve"> is given by</w:t>
            </w:r>
            <w:r>
              <w:t xml:space="preserve"> </w:t>
            </w:r>
            <w:r w:rsidRPr="001B1B4C">
              <w:rPr>
                <w:position w:val="-10"/>
              </w:rPr>
              <w:object w:dxaOrig="2040" w:dyaOrig="340" w14:anchorId="789986D1">
                <v:shape id="_x0000_i1027" type="#_x0000_t75" style="width:102.6pt;height:17.4pt" o:ole="">
                  <v:imagedata r:id="rId15" o:title=""/>
                </v:shape>
                <o:OLEObject Type="Embed" ProgID="Equation.3" ShapeID="_x0000_i1027" DrawAspect="Content" ObjectID="_1618290990" r:id="rId16"/>
              </w:object>
            </w:r>
            <w:r>
              <w:t xml:space="preserve">, where </w:t>
            </w:r>
            <w:r w:rsidRPr="001B1B4C">
              <w:rPr>
                <w:position w:val="-10"/>
              </w:rPr>
              <w:object w:dxaOrig="700" w:dyaOrig="340" w14:anchorId="34D609CB">
                <v:shape id="_x0000_i1028" type="#_x0000_t75" style="width:35.4pt;height:17.4pt" o:ole="">
                  <v:imagedata r:id="rId17" o:title=""/>
                </v:shape>
                <o:OLEObject Type="Embed" ProgID="Equation.3" ShapeID="_x0000_i1028" DrawAspect="Content" ObjectID="_1618290991" r:id="rId18"/>
              </w:object>
            </w:r>
            <w:r w:rsidRPr="001B1B4C">
              <w:t xml:space="preserve"> is shown in the Table 6.2.3</w:t>
            </w:r>
            <w:r>
              <w:t>.1</w:t>
            </w:r>
            <w:r w:rsidRPr="001B1B4C">
              <w:t>-</w:t>
            </w:r>
            <w:r>
              <w:t>3</w:t>
            </w:r>
            <w:r w:rsidRPr="001B1B4C">
              <w:t xml:space="preserve"> according to the higher layer parameter </w:t>
            </w:r>
            <w:r w:rsidRPr="00450CE8">
              <w:rPr>
                <w:i/>
              </w:rPr>
              <w:t>ptrs-Power</w:t>
            </w:r>
            <w:r>
              <w:t xml:space="preserve">, </w:t>
            </w:r>
            <w:r w:rsidRPr="00F53AE7">
              <w:t xml:space="preserve">the PT-RS scaling factor </w:t>
            </w:r>
            <w:r w:rsidRPr="00F4011D">
              <w:rPr>
                <w:color w:val="000000"/>
                <w:position w:val="-12"/>
              </w:rPr>
              <w:object w:dxaOrig="499" w:dyaOrig="360" w14:anchorId="124292FB">
                <v:shape id="_x0000_i1029" type="#_x0000_t75" style="width:22.8pt;height:14.4pt" o:ole="">
                  <v:imagedata r:id="rId19" o:title=""/>
                </v:shape>
                <o:OLEObject Type="Embed" ProgID="Equation.DSMT4" ShapeID="_x0000_i1029" DrawAspect="Content" ObjectID="_1618290992" r:id="rId20"/>
              </w:object>
            </w:r>
            <w:r w:rsidRPr="00F53AE7">
              <w:t xml:space="preserve"> specified in subclause </w:t>
            </w:r>
            <w:r w:rsidRPr="00EA192F">
              <w:t>6.</w:t>
            </w:r>
            <w:r>
              <w:t>4.1.2.2.1</w:t>
            </w:r>
            <w:r w:rsidRPr="00F53AE7">
              <w:t xml:space="preserve"> of [4, TS 38.211] is given by </w:t>
            </w:r>
            <w:r w:rsidRPr="00283C13">
              <w:rPr>
                <w:color w:val="000000"/>
                <w:position w:val="-12"/>
              </w:rPr>
              <w:object w:dxaOrig="1500" w:dyaOrig="580" w14:anchorId="1F0D5FAF">
                <v:shape id="_x0000_i1030" type="#_x0000_t75" style="width:76.8pt;height:29.4pt" o:ole="">
                  <v:imagedata r:id="rId21" o:title=""/>
                </v:shape>
                <o:OLEObject Type="Embed" ProgID="Equation.DSMT4" ShapeID="_x0000_i1030" DrawAspect="Content" ObjectID="_1618290993" r:id="rId22"/>
              </w:object>
            </w:r>
            <w:r>
              <w:t xml:space="preserve">and also on </w:t>
            </w:r>
            <w:r w:rsidRPr="0016416D">
              <w:t xml:space="preserve">the </w:t>
            </w:r>
            <w:r w:rsidRPr="0033654C">
              <w:rPr>
                <w:i/>
              </w:rPr>
              <w:t>Precoding Information and Number of Layers</w:t>
            </w:r>
            <w:r w:rsidRPr="00450CE8">
              <w:t xml:space="preserve"> field in DCI</w:t>
            </w:r>
            <w:r>
              <w:t>.</w:t>
            </w:r>
          </w:p>
          <w:p w14:paraId="0A057D1A" w14:textId="77777777" w:rsidR="00566E05" w:rsidRDefault="00566E05" w:rsidP="00566E05">
            <w:pPr>
              <w:pStyle w:val="B1"/>
            </w:pPr>
            <w:r>
              <w:t>-</w:t>
            </w:r>
            <w:r>
              <w:tab/>
              <w:t xml:space="preserve">The UE shall assume </w:t>
            </w:r>
            <w:r w:rsidRPr="0052558F">
              <w:rPr>
                <w:i/>
              </w:rPr>
              <w:t>ptrs-Power</w:t>
            </w:r>
            <w:r w:rsidRPr="0052558F">
              <w:t xml:space="preserve"> in </w:t>
            </w:r>
            <w:r w:rsidRPr="00F35584">
              <w:rPr>
                <w:i/>
              </w:rPr>
              <w:t>PTRS-UplinkConfig</w:t>
            </w:r>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t xml:space="preserve"> </w:t>
            </w:r>
            <w:r>
              <w:t>or in case of non-codebook based PUSCH</w:t>
            </w:r>
            <w:r w:rsidRPr="001B1B4C">
              <w:t>.</w:t>
            </w:r>
          </w:p>
          <w:p w14:paraId="0F9D061F" w14:textId="77777777" w:rsidR="00566E05" w:rsidRPr="001B1B4C" w:rsidRDefault="00566E05" w:rsidP="00566E05">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5F1C6E66">
                <v:shape id="_x0000_i1031" type="#_x0000_t75" style="width:35.4pt;height:17.4pt" o:ole="">
                  <v:imagedata r:id="rId17" o:title=""/>
                </v:shape>
                <o:OLEObject Type="Embed" ProgID="Equation.3" ShapeID="_x0000_i1031" DrawAspect="Content" ObjectID="_1618290994" r:id="rId2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709"/>
              <w:gridCol w:w="1178"/>
              <w:gridCol w:w="1204"/>
              <w:gridCol w:w="1134"/>
              <w:gridCol w:w="1276"/>
              <w:gridCol w:w="1187"/>
              <w:gridCol w:w="967"/>
              <w:gridCol w:w="1209"/>
            </w:tblGrid>
            <w:tr w:rsidR="00566E05" w14:paraId="51F7F108" w14:textId="77777777" w:rsidTr="003733D1">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1600852B" w14:textId="77777777" w:rsidR="00566E05" w:rsidRPr="001B1B4C" w:rsidRDefault="00566E05" w:rsidP="00566E05">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60C4373D">
                      <v:shape id="_x0000_i1032" type="#_x0000_t75" style="width:36pt;height:18.6pt" o:ole="">
                        <v:imagedata r:id="rId24" o:title=""/>
                      </v:shape>
                      <o:OLEObject Type="Embed" ProgID="Equation.3" ShapeID="_x0000_i1032" DrawAspect="Content" ObjectID="_1618290995" r:id="rId25"/>
                    </w:object>
                  </w:r>
                </w:p>
              </w:tc>
              <w:tc>
                <w:tcPr>
                  <w:tcW w:w="0" w:type="auto"/>
                  <w:tcBorders>
                    <w:top w:val="single" w:sz="4" w:space="0" w:color="auto"/>
                    <w:left w:val="single" w:sz="4" w:space="0" w:color="auto"/>
                    <w:right w:val="single" w:sz="4" w:space="0" w:color="auto"/>
                  </w:tcBorders>
                  <w:shd w:val="clear" w:color="auto" w:fill="E7E6E6"/>
                </w:tcPr>
                <w:p w14:paraId="2D01750D" w14:textId="77777777" w:rsidR="00566E05" w:rsidRPr="001B1B4C" w:rsidRDefault="00566E05" w:rsidP="00566E05">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2BF43091" w14:textId="77777777" w:rsidR="00566E05" w:rsidRPr="001B1B4C" w:rsidRDefault="00566E05" w:rsidP="00566E05">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6288067C">
                      <v:shape id="_x0000_i1033" type="#_x0000_t75" style="width:36pt;height:21.6pt" o:ole="">
                        <v:imagedata r:id="rId26" o:title=""/>
                      </v:shape>
                      <o:OLEObject Type="Embed" ProgID="Equation.3" ShapeID="_x0000_i1033" DrawAspect="Content" ObjectID="_1618290996" r:id="rId27"/>
                    </w:object>
                  </w:r>
                  <w:r w:rsidRPr="001B1B4C">
                    <w:rPr>
                      <w:rFonts w:cs="Arial"/>
                      <w:szCs w:val="18"/>
                      <w:lang w:val="en-US"/>
                    </w:rPr>
                    <w:t>)</w:t>
                  </w:r>
                </w:p>
              </w:tc>
            </w:tr>
            <w:tr w:rsidR="00566E05" w14:paraId="383790FA" w14:textId="77777777" w:rsidTr="003733D1">
              <w:trPr>
                <w:trHeight w:val="238"/>
                <w:jc w:val="center"/>
              </w:trPr>
              <w:tc>
                <w:tcPr>
                  <w:tcW w:w="0" w:type="auto"/>
                  <w:vMerge/>
                  <w:tcBorders>
                    <w:left w:val="single" w:sz="4" w:space="0" w:color="auto"/>
                    <w:right w:val="single" w:sz="4" w:space="0" w:color="auto"/>
                  </w:tcBorders>
                  <w:vAlign w:val="center"/>
                  <w:hideMark/>
                </w:tcPr>
                <w:p w14:paraId="2FE6AF40" w14:textId="77777777" w:rsidR="00566E05" w:rsidRPr="001B1B4C" w:rsidRDefault="00566E05" w:rsidP="00566E05">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3FDE00F1" w14:textId="77777777" w:rsidR="00566E05" w:rsidRPr="001B1B4C" w:rsidRDefault="00566E05" w:rsidP="00566E05">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D6FD76" w14:textId="77777777" w:rsidR="00566E05" w:rsidRPr="001B1B4C" w:rsidRDefault="00566E05" w:rsidP="00566E05">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C65E86" w14:textId="77777777" w:rsidR="00566E05" w:rsidRPr="001B1B4C" w:rsidRDefault="00566E05" w:rsidP="00566E05">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71251F88" w14:textId="77777777" w:rsidR="00566E05" w:rsidRPr="001B1B4C" w:rsidRDefault="00566E05" w:rsidP="00566E05">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566E05" w14:paraId="13711D81" w14:textId="77777777" w:rsidTr="003733D1">
              <w:trPr>
                <w:trHeight w:val="238"/>
                <w:jc w:val="center"/>
              </w:trPr>
              <w:tc>
                <w:tcPr>
                  <w:tcW w:w="0" w:type="auto"/>
                  <w:vMerge/>
                  <w:tcBorders>
                    <w:left w:val="single" w:sz="4" w:space="0" w:color="auto"/>
                    <w:bottom w:val="single" w:sz="4" w:space="0" w:color="auto"/>
                    <w:right w:val="single" w:sz="4" w:space="0" w:color="auto"/>
                  </w:tcBorders>
                  <w:vAlign w:val="center"/>
                </w:tcPr>
                <w:p w14:paraId="46C1A84D" w14:textId="77777777" w:rsidR="00566E05" w:rsidRPr="001B1B4C" w:rsidRDefault="00566E05" w:rsidP="00566E05">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E6277E1" w14:textId="77777777" w:rsidR="00566E05" w:rsidRPr="00106B7D" w:rsidRDefault="00566E05" w:rsidP="00566E05">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729DA769" w14:textId="77777777" w:rsidR="00566E05" w:rsidRPr="00106B7D" w:rsidRDefault="00566E05" w:rsidP="00566E05">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252C5B96" w14:textId="77777777" w:rsidR="00566E05" w:rsidRPr="001B1B4C" w:rsidRDefault="00566E05" w:rsidP="00566E05">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C24776" w14:textId="77777777" w:rsidR="00566E05" w:rsidRPr="001B1B4C" w:rsidRDefault="00566E05" w:rsidP="00566E05">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053C35AA" w14:textId="77777777" w:rsidR="00566E05" w:rsidRPr="001B1B4C" w:rsidRDefault="00566E05" w:rsidP="00566E05">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71E36C48" w14:textId="77777777" w:rsidR="00566E05" w:rsidRPr="001B1B4C" w:rsidRDefault="00566E05" w:rsidP="00566E05">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CBE08D5" w14:textId="77777777" w:rsidR="00566E05" w:rsidRPr="001B1B4C" w:rsidRDefault="00566E05" w:rsidP="00566E05">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165A4D3" w14:textId="77777777" w:rsidR="00566E05" w:rsidRPr="00C439CA" w:rsidRDefault="00566E05" w:rsidP="00566E05">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566E05" w14:paraId="6AD5C847" w14:textId="77777777" w:rsidTr="003733D1">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859216" w14:textId="77777777" w:rsidR="00566E05" w:rsidRPr="004A705A" w:rsidRDefault="00566E05" w:rsidP="00566E05">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204246FC" w14:textId="77777777" w:rsidR="00566E05" w:rsidRPr="001B1B4C" w:rsidRDefault="00566E05" w:rsidP="00566E05">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29AA0817" w14:textId="77777777" w:rsidR="00566E05" w:rsidRPr="001B1B4C" w:rsidRDefault="00566E05" w:rsidP="00566E05">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7B052C53"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1082616B" w14:textId="77777777" w:rsidR="00566E05" w:rsidRPr="001B1B4C" w:rsidRDefault="00566E05" w:rsidP="00566E05">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74E003AF"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50FA4B28" w14:textId="77777777" w:rsidR="00566E05" w:rsidRPr="001B1B4C" w:rsidRDefault="00566E05" w:rsidP="00566E05">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2D221DAA"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10D8DE53"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566E05" w14:paraId="669CFFEA" w14:textId="77777777" w:rsidTr="003733D1">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671397D" w14:textId="77777777" w:rsidR="00566E05" w:rsidRPr="004A705A" w:rsidRDefault="00566E05" w:rsidP="00566E05">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60B74740"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72355018"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024E8D80"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1A9726D1"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33B8E610"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575EBEE4"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8CE0AD1"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4381D389"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6</w:t>
                  </w:r>
                </w:p>
              </w:tc>
            </w:tr>
            <w:tr w:rsidR="00566E05" w14:paraId="6FF7EF20" w14:textId="77777777" w:rsidTr="003733D1">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012A959" w14:textId="77777777" w:rsidR="00566E05" w:rsidRPr="004A705A" w:rsidRDefault="00566E05" w:rsidP="00566E05">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56F7800A"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Reserved</w:t>
                  </w:r>
                </w:p>
              </w:tc>
            </w:tr>
            <w:tr w:rsidR="00566E05" w14:paraId="4BCF6D6F" w14:textId="77777777" w:rsidTr="003733D1">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59D8342" w14:textId="77777777" w:rsidR="00566E05" w:rsidRPr="004A705A" w:rsidRDefault="00566E05" w:rsidP="00566E05">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56C12C5A"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2B0F74D8" w14:textId="77777777" w:rsidR="00566E05" w:rsidRDefault="00566E05" w:rsidP="00566E05">
            <w:pPr>
              <w:rPr>
                <w:sz w:val="22"/>
                <w:szCs w:val="22"/>
              </w:rPr>
            </w:pPr>
          </w:p>
        </w:tc>
      </w:tr>
    </w:tbl>
    <w:p w14:paraId="338ABFAC" w14:textId="77777777" w:rsidR="00566E05" w:rsidRDefault="00566E05" w:rsidP="00566E05">
      <w:pPr>
        <w:ind w:firstLine="284"/>
        <w:jc w:val="both"/>
        <w:rPr>
          <w:sz w:val="22"/>
          <w:szCs w:val="22"/>
        </w:rPr>
      </w:pPr>
    </w:p>
    <w:p w14:paraId="73E7B6CB" w14:textId="4FF9C274" w:rsidR="009A0DD0" w:rsidRPr="009A0DD0" w:rsidRDefault="001A066D" w:rsidP="00566E05">
      <w:pPr>
        <w:ind w:firstLine="284"/>
        <w:jc w:val="both"/>
        <w:rPr>
          <w:b/>
          <w:i/>
          <w:sz w:val="22"/>
          <w:szCs w:val="22"/>
        </w:rPr>
      </w:pPr>
      <w:r>
        <w:rPr>
          <w:b/>
          <w:i/>
          <w:sz w:val="22"/>
          <w:szCs w:val="22"/>
        </w:rPr>
        <w:t>Observation 3</w:t>
      </w:r>
      <w:r w:rsidR="009A0DD0" w:rsidRPr="009A0DD0">
        <w:rPr>
          <w:b/>
          <w:i/>
          <w:sz w:val="22"/>
          <w:szCs w:val="22"/>
        </w:rPr>
        <w:t xml:space="preserve">: When PT-RS is present and for rank&gt;1 non-codebook based transmission, Rel-15 UE cannot support full power transmission. </w:t>
      </w:r>
    </w:p>
    <w:p w14:paraId="31135630" w14:textId="5F3D701D" w:rsidR="00566E05" w:rsidRPr="00566E05" w:rsidRDefault="003733D1" w:rsidP="00566E05">
      <w:pPr>
        <w:ind w:firstLine="284"/>
        <w:jc w:val="both"/>
        <w:rPr>
          <w:b/>
          <w:i/>
          <w:sz w:val="22"/>
          <w:szCs w:val="22"/>
        </w:rPr>
      </w:pPr>
      <w:r>
        <w:rPr>
          <w:b/>
          <w:i/>
          <w:sz w:val="22"/>
          <w:szCs w:val="22"/>
        </w:rPr>
        <w:t xml:space="preserve">Proposal </w:t>
      </w:r>
      <w:r w:rsidR="001A066D">
        <w:rPr>
          <w:b/>
          <w:i/>
          <w:sz w:val="22"/>
          <w:szCs w:val="22"/>
        </w:rPr>
        <w:t>4</w:t>
      </w:r>
      <w:r w:rsidR="00566E05" w:rsidRPr="00566E05">
        <w:rPr>
          <w:b/>
          <w:i/>
          <w:sz w:val="22"/>
          <w:szCs w:val="22"/>
        </w:rPr>
        <w:t xml:space="preserve">: To support full power transmission, it should be supported that </w:t>
      </w:r>
      <w:r w:rsidR="001B51F0">
        <w:rPr>
          <w:b/>
          <w:i/>
          <w:sz w:val="22"/>
          <w:szCs w:val="22"/>
        </w:rPr>
        <w:t>ptrs</w:t>
      </w:r>
      <w:r w:rsidR="00566E05" w:rsidRPr="00566E05">
        <w:rPr>
          <w:b/>
          <w:i/>
          <w:sz w:val="22"/>
          <w:szCs w:val="22"/>
        </w:rPr>
        <w:t>-</w:t>
      </w:r>
      <w:r w:rsidR="001B51F0">
        <w:rPr>
          <w:b/>
          <w:i/>
          <w:sz w:val="22"/>
          <w:szCs w:val="22"/>
        </w:rPr>
        <w:t>P</w:t>
      </w:r>
      <w:r w:rsidR="00566E05" w:rsidRPr="00566E05">
        <w:rPr>
          <w:b/>
          <w:i/>
          <w:sz w:val="22"/>
          <w:szCs w:val="22"/>
        </w:rPr>
        <w:t>ower could be set to “01”</w:t>
      </w:r>
      <w:r w:rsidR="00445EE7">
        <w:rPr>
          <w:b/>
          <w:i/>
          <w:sz w:val="22"/>
          <w:szCs w:val="22"/>
        </w:rPr>
        <w:t xml:space="preserve"> </w:t>
      </w:r>
      <w:r w:rsidR="00445EE7" w:rsidRPr="00566E05">
        <w:rPr>
          <w:b/>
          <w:i/>
          <w:sz w:val="22"/>
          <w:szCs w:val="22"/>
        </w:rPr>
        <w:t>for non-codebook based transmission</w:t>
      </w:r>
      <w:r w:rsidR="00566E05" w:rsidRPr="00566E05">
        <w:rPr>
          <w:b/>
          <w:i/>
          <w:sz w:val="22"/>
          <w:szCs w:val="22"/>
        </w:rPr>
        <w:t>.</w:t>
      </w:r>
    </w:p>
    <w:p w14:paraId="4A41C859" w14:textId="7114A5FF" w:rsidR="00B80D06" w:rsidRDefault="00B80D06" w:rsidP="00B80D06">
      <w:pPr>
        <w:pStyle w:val="Heading1"/>
        <w:numPr>
          <w:ilvl w:val="0"/>
          <w:numId w:val="5"/>
        </w:numPr>
      </w:pPr>
      <w:r>
        <w:t>Conclusion</w:t>
      </w:r>
    </w:p>
    <w:p w14:paraId="75ABC072" w14:textId="7FCBE7F8" w:rsidR="00B80D06" w:rsidRDefault="00B80D06" w:rsidP="00A65744">
      <w:pPr>
        <w:ind w:firstLine="284"/>
        <w:jc w:val="both"/>
        <w:rPr>
          <w:sz w:val="22"/>
          <w:szCs w:val="22"/>
        </w:rPr>
      </w:pPr>
      <w:r>
        <w:rPr>
          <w:sz w:val="22"/>
          <w:szCs w:val="22"/>
        </w:rPr>
        <w:t xml:space="preserve">In this contribution, we discussed the mechanisms to support full power transmission for UE with multiple PAs. Based on the discussion, the following </w:t>
      </w:r>
      <w:r w:rsidR="009A0DD0">
        <w:rPr>
          <w:sz w:val="22"/>
          <w:szCs w:val="22"/>
        </w:rPr>
        <w:t xml:space="preserve">observations </w:t>
      </w:r>
      <w:r>
        <w:rPr>
          <w:sz w:val="22"/>
          <w:szCs w:val="22"/>
        </w:rPr>
        <w:t>are achieved.</w:t>
      </w:r>
    </w:p>
    <w:p w14:paraId="22373C91" w14:textId="77777777" w:rsidR="001A066D" w:rsidRDefault="001A066D" w:rsidP="001A066D">
      <w:pPr>
        <w:ind w:firstLine="284"/>
        <w:jc w:val="both"/>
        <w:rPr>
          <w:b/>
          <w:i/>
          <w:sz w:val="22"/>
          <w:szCs w:val="22"/>
        </w:rPr>
      </w:pPr>
      <w:r w:rsidRPr="001A066D">
        <w:rPr>
          <w:b/>
          <w:i/>
          <w:sz w:val="22"/>
          <w:szCs w:val="22"/>
        </w:rPr>
        <w:t>Observation 1: For capability2 UE, the performance of antenna virtualization is better than port cycling.</w:t>
      </w:r>
    </w:p>
    <w:p w14:paraId="1E316471" w14:textId="77777777" w:rsidR="00F16035" w:rsidRPr="009A0DD0" w:rsidRDefault="00F16035" w:rsidP="00F16035">
      <w:pPr>
        <w:ind w:firstLine="284"/>
        <w:jc w:val="both"/>
        <w:rPr>
          <w:b/>
          <w:i/>
          <w:sz w:val="22"/>
          <w:szCs w:val="22"/>
        </w:rPr>
      </w:pPr>
      <w:r w:rsidRPr="009A0DD0">
        <w:rPr>
          <w:b/>
          <w:i/>
          <w:sz w:val="22"/>
          <w:szCs w:val="22"/>
        </w:rPr>
        <w:t>Observation 2: To support UE reports whether it supports full power transmission per precoder could support all types of UE capability.</w:t>
      </w:r>
    </w:p>
    <w:p w14:paraId="2657FF01" w14:textId="77777777" w:rsidR="00F16035" w:rsidRPr="009A0DD0" w:rsidRDefault="00F16035" w:rsidP="00F16035">
      <w:pPr>
        <w:ind w:firstLine="284"/>
        <w:jc w:val="both"/>
        <w:rPr>
          <w:b/>
          <w:i/>
          <w:sz w:val="22"/>
          <w:szCs w:val="22"/>
        </w:rPr>
      </w:pPr>
      <w:r>
        <w:rPr>
          <w:b/>
          <w:i/>
          <w:sz w:val="22"/>
          <w:szCs w:val="22"/>
        </w:rPr>
        <w:lastRenderedPageBreak/>
        <w:t>Observation 3</w:t>
      </w:r>
      <w:r w:rsidRPr="009A0DD0">
        <w:rPr>
          <w:b/>
          <w:i/>
          <w:sz w:val="22"/>
          <w:szCs w:val="22"/>
        </w:rPr>
        <w:t xml:space="preserve">: When PT-RS is present and for rank&gt;1 non-codebook based transmission, Rel-15 UE cannot support full power transmission. </w:t>
      </w:r>
    </w:p>
    <w:p w14:paraId="2FD0959B" w14:textId="311CB3D2" w:rsidR="009A0DD0" w:rsidRPr="009A0DD0" w:rsidRDefault="009A0DD0" w:rsidP="003733D1">
      <w:pPr>
        <w:ind w:firstLine="284"/>
        <w:jc w:val="both"/>
        <w:rPr>
          <w:sz w:val="22"/>
          <w:szCs w:val="22"/>
        </w:rPr>
      </w:pPr>
      <w:r w:rsidRPr="009A0DD0">
        <w:rPr>
          <w:sz w:val="22"/>
          <w:szCs w:val="22"/>
        </w:rPr>
        <w:t>Based on the observations above, we achieved the following proposals:</w:t>
      </w:r>
    </w:p>
    <w:p w14:paraId="16F20FC3" w14:textId="77777777" w:rsidR="00F16035" w:rsidRDefault="00F16035" w:rsidP="00F16035">
      <w:pPr>
        <w:ind w:firstLine="284"/>
        <w:jc w:val="both"/>
        <w:rPr>
          <w:b/>
          <w:i/>
          <w:sz w:val="22"/>
          <w:szCs w:val="22"/>
        </w:rPr>
      </w:pPr>
      <w:r>
        <w:rPr>
          <w:b/>
          <w:i/>
          <w:sz w:val="22"/>
          <w:szCs w:val="22"/>
        </w:rPr>
        <w:t>Proposal 1: To support full power transmission for capability 2 UE, Alt3 should be supported, where Alt3-1 is slightly preferred compared to Alt3-2.</w:t>
      </w:r>
    </w:p>
    <w:p w14:paraId="2E5068C6" w14:textId="77777777" w:rsidR="00F16035" w:rsidRDefault="00F16035" w:rsidP="00F16035">
      <w:pPr>
        <w:ind w:firstLine="284"/>
        <w:jc w:val="both"/>
        <w:rPr>
          <w:b/>
          <w:i/>
          <w:sz w:val="22"/>
          <w:szCs w:val="22"/>
        </w:rPr>
      </w:pPr>
      <w:r w:rsidRPr="001A066D">
        <w:rPr>
          <w:b/>
          <w:i/>
          <w:sz w:val="22"/>
          <w:szCs w:val="22"/>
        </w:rPr>
        <w:t>Proposal 2: For capability3 UE, option 3 is supported, where UE does not need to additionally scale the transmission power for some precoders.</w:t>
      </w:r>
    </w:p>
    <w:p w14:paraId="23377FA3" w14:textId="77777777" w:rsidR="00F16035" w:rsidRPr="009A2085" w:rsidRDefault="00F16035" w:rsidP="00F16035">
      <w:pPr>
        <w:ind w:firstLine="284"/>
        <w:jc w:val="both"/>
        <w:rPr>
          <w:b/>
          <w:i/>
          <w:sz w:val="22"/>
          <w:szCs w:val="22"/>
        </w:rPr>
      </w:pPr>
      <w:r w:rsidRPr="009A2085">
        <w:rPr>
          <w:b/>
          <w:i/>
          <w:sz w:val="22"/>
          <w:szCs w:val="22"/>
        </w:rPr>
        <w:t xml:space="preserve">Proposal </w:t>
      </w:r>
      <w:r>
        <w:rPr>
          <w:b/>
          <w:i/>
          <w:sz w:val="22"/>
          <w:szCs w:val="22"/>
        </w:rPr>
        <w:t>3</w:t>
      </w:r>
      <w:r w:rsidRPr="009A2085">
        <w:rPr>
          <w:b/>
          <w:i/>
          <w:sz w:val="22"/>
          <w:szCs w:val="22"/>
        </w:rPr>
        <w:t>: On UE capability signalling, it should be supported that UE reports whether it supports full power transmission per precoder, and when UE does not report corresponding capability, it means UE does not support full power transmission for non-coherent/partial-coherent based precoders.</w:t>
      </w:r>
    </w:p>
    <w:p w14:paraId="5EE41EFE" w14:textId="77777777" w:rsidR="00F16035" w:rsidRPr="00566E05" w:rsidRDefault="00F16035" w:rsidP="00F16035">
      <w:pPr>
        <w:ind w:firstLine="284"/>
        <w:jc w:val="both"/>
        <w:rPr>
          <w:b/>
          <w:i/>
          <w:sz w:val="22"/>
          <w:szCs w:val="22"/>
        </w:rPr>
      </w:pPr>
      <w:r>
        <w:rPr>
          <w:b/>
          <w:i/>
          <w:sz w:val="22"/>
          <w:szCs w:val="22"/>
        </w:rPr>
        <w:t>Proposal 4</w:t>
      </w:r>
      <w:r w:rsidRPr="00566E05">
        <w:rPr>
          <w:b/>
          <w:i/>
          <w:sz w:val="22"/>
          <w:szCs w:val="22"/>
        </w:rPr>
        <w:t xml:space="preserve">: To support full power transmission, it should be supported that </w:t>
      </w:r>
      <w:r>
        <w:rPr>
          <w:b/>
          <w:i/>
          <w:sz w:val="22"/>
          <w:szCs w:val="22"/>
        </w:rPr>
        <w:t>ptrs</w:t>
      </w:r>
      <w:r w:rsidRPr="00566E05">
        <w:rPr>
          <w:b/>
          <w:i/>
          <w:sz w:val="22"/>
          <w:szCs w:val="22"/>
        </w:rPr>
        <w:t>-</w:t>
      </w:r>
      <w:r>
        <w:rPr>
          <w:b/>
          <w:i/>
          <w:sz w:val="22"/>
          <w:szCs w:val="22"/>
        </w:rPr>
        <w:t>P</w:t>
      </w:r>
      <w:r w:rsidRPr="00566E05">
        <w:rPr>
          <w:b/>
          <w:i/>
          <w:sz w:val="22"/>
          <w:szCs w:val="22"/>
        </w:rPr>
        <w:t>ower could be set to “01”</w:t>
      </w:r>
      <w:r>
        <w:rPr>
          <w:b/>
          <w:i/>
          <w:sz w:val="22"/>
          <w:szCs w:val="22"/>
        </w:rPr>
        <w:t xml:space="preserve"> </w:t>
      </w:r>
      <w:r w:rsidRPr="00566E05">
        <w:rPr>
          <w:b/>
          <w:i/>
          <w:sz w:val="22"/>
          <w:szCs w:val="22"/>
        </w:rPr>
        <w:t>for non-codebook based transmission.</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4D2CCCD" w14:textId="7085D548" w:rsidR="003D2F94" w:rsidRDefault="00D67D09" w:rsidP="00A12C57">
      <w:pPr>
        <w:numPr>
          <w:ilvl w:val="0"/>
          <w:numId w:val="2"/>
        </w:numPr>
        <w:rPr>
          <w:sz w:val="22"/>
          <w:szCs w:val="22"/>
          <w:lang w:val="en-US" w:eastAsia="zh-CN"/>
        </w:rPr>
      </w:pPr>
      <w:r>
        <w:rPr>
          <w:sz w:val="22"/>
          <w:szCs w:val="22"/>
          <w:lang w:val="en-US" w:eastAsia="zh-CN"/>
        </w:rPr>
        <w:t xml:space="preserve">Chairman notes RAN1 </w:t>
      </w:r>
      <w:r w:rsidR="00BF2A22">
        <w:rPr>
          <w:sz w:val="22"/>
          <w:szCs w:val="22"/>
          <w:lang w:val="en-US" w:eastAsia="zh-CN"/>
        </w:rPr>
        <w:t>#96</w:t>
      </w:r>
      <w:r w:rsidR="00F16035">
        <w:rPr>
          <w:sz w:val="22"/>
          <w:szCs w:val="22"/>
          <w:lang w:val="en-US" w:eastAsia="zh-CN"/>
        </w:rPr>
        <w:t>b</w:t>
      </w:r>
    </w:p>
    <w:p w14:paraId="6157DFC5" w14:textId="1D65BF9B" w:rsidR="00DB560E" w:rsidRPr="00DB560E" w:rsidRDefault="00DB560E" w:rsidP="00DB560E">
      <w:pPr>
        <w:pStyle w:val="Heading1"/>
        <w:pBdr>
          <w:top w:val="single" w:sz="12" w:space="4" w:color="auto"/>
        </w:pBdr>
        <w:ind w:left="0" w:firstLine="0"/>
        <w:rPr>
          <w:rFonts w:cs="Arial"/>
          <w:lang w:val="en-US"/>
        </w:rPr>
      </w:pPr>
      <w:r w:rsidRPr="00DB560E">
        <w:rPr>
          <w:rFonts w:cs="Arial"/>
          <w:lang w:val="en-US"/>
        </w:rPr>
        <w:t>Appendix – Simulation Assumption</w:t>
      </w:r>
    </w:p>
    <w:p w14:paraId="63745F65" w14:textId="077E966F" w:rsidR="00DB560E" w:rsidRPr="00DB560E" w:rsidRDefault="00DB560E" w:rsidP="00DB560E">
      <w:pPr>
        <w:jc w:val="center"/>
        <w:rPr>
          <w:b/>
          <w:sz w:val="22"/>
          <w:szCs w:val="22"/>
          <w:lang w:val="en-US" w:eastAsia="zh-CN"/>
        </w:rPr>
      </w:pPr>
      <w:r w:rsidRPr="00DB560E">
        <w:rPr>
          <w:b/>
          <w:sz w:val="22"/>
          <w:szCs w:val="22"/>
          <w:lang w:val="en-US" w:eastAsia="zh-CN"/>
        </w:rPr>
        <w:t>Table A-1: Simulation Assumption</w:t>
      </w:r>
    </w:p>
    <w:tbl>
      <w:tblPr>
        <w:tblStyle w:val="GridTable4-Accent5"/>
        <w:tblW w:w="0" w:type="auto"/>
        <w:jc w:val="center"/>
        <w:tblLook w:val="04A0" w:firstRow="1" w:lastRow="0" w:firstColumn="1" w:lastColumn="0" w:noHBand="0" w:noVBand="1"/>
      </w:tblPr>
      <w:tblGrid>
        <w:gridCol w:w="2594"/>
        <w:gridCol w:w="2500"/>
      </w:tblGrid>
      <w:tr w:rsidR="00DB560E" w14:paraId="3B46E87E" w14:textId="77777777" w:rsidTr="00DC50B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94" w:type="dxa"/>
          </w:tcPr>
          <w:p w14:paraId="179D4DBF" w14:textId="5C0EDED8" w:rsidR="00DB560E" w:rsidRDefault="00DB560E" w:rsidP="00DB560E">
            <w:pPr>
              <w:rPr>
                <w:sz w:val="22"/>
                <w:szCs w:val="22"/>
                <w:lang w:val="en-US" w:eastAsia="zh-CN"/>
              </w:rPr>
            </w:pPr>
            <w:r>
              <w:rPr>
                <w:sz w:val="22"/>
                <w:szCs w:val="22"/>
                <w:lang w:val="en-US" w:eastAsia="zh-CN"/>
              </w:rPr>
              <w:t>Parameter</w:t>
            </w:r>
          </w:p>
        </w:tc>
        <w:tc>
          <w:tcPr>
            <w:tcW w:w="2500" w:type="dxa"/>
          </w:tcPr>
          <w:p w14:paraId="08BC4F9D" w14:textId="192DF769" w:rsidR="00DB560E" w:rsidRDefault="00DB560E" w:rsidP="00DB560E">
            <w:pP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Value</w:t>
            </w:r>
          </w:p>
        </w:tc>
      </w:tr>
      <w:tr w:rsidR="00DB560E" w14:paraId="721E3992" w14:textId="77777777" w:rsidTr="00DC50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94" w:type="dxa"/>
          </w:tcPr>
          <w:p w14:paraId="2A51F4EE" w14:textId="2C507152" w:rsidR="00DB560E" w:rsidRDefault="00DB560E" w:rsidP="00DB560E">
            <w:pPr>
              <w:rPr>
                <w:sz w:val="22"/>
                <w:szCs w:val="22"/>
                <w:lang w:val="en-US" w:eastAsia="zh-CN"/>
              </w:rPr>
            </w:pPr>
            <w:r>
              <w:rPr>
                <w:sz w:val="22"/>
                <w:szCs w:val="22"/>
                <w:lang w:val="en-US" w:eastAsia="zh-CN"/>
              </w:rPr>
              <w:t>Scenario</w:t>
            </w:r>
          </w:p>
        </w:tc>
        <w:tc>
          <w:tcPr>
            <w:tcW w:w="2500" w:type="dxa"/>
          </w:tcPr>
          <w:p w14:paraId="252E090F" w14:textId="1335DF35" w:rsidR="00DB560E" w:rsidRDefault="00DB560E" w:rsidP="00DB560E">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Dense Urban Macro</w:t>
            </w:r>
          </w:p>
        </w:tc>
      </w:tr>
      <w:tr w:rsidR="00DB560E" w14:paraId="295B5FB1" w14:textId="77777777" w:rsidTr="00DC50B8">
        <w:trPr>
          <w:jc w:val="center"/>
        </w:trPr>
        <w:tc>
          <w:tcPr>
            <w:cnfStyle w:val="001000000000" w:firstRow="0" w:lastRow="0" w:firstColumn="1" w:lastColumn="0" w:oddVBand="0" w:evenVBand="0" w:oddHBand="0" w:evenHBand="0" w:firstRowFirstColumn="0" w:firstRowLastColumn="0" w:lastRowFirstColumn="0" w:lastRowLastColumn="0"/>
            <w:tcW w:w="2594" w:type="dxa"/>
          </w:tcPr>
          <w:p w14:paraId="0C938DEE" w14:textId="3982FA8B" w:rsidR="00DB560E" w:rsidRDefault="00DB560E" w:rsidP="00DB560E">
            <w:pPr>
              <w:rPr>
                <w:sz w:val="22"/>
                <w:szCs w:val="22"/>
                <w:lang w:val="en-US" w:eastAsia="zh-CN"/>
              </w:rPr>
            </w:pPr>
            <w:r>
              <w:rPr>
                <w:sz w:val="22"/>
                <w:szCs w:val="22"/>
                <w:lang w:val="en-US" w:eastAsia="zh-CN"/>
              </w:rPr>
              <w:t>gNB antenna structure</w:t>
            </w:r>
          </w:p>
        </w:tc>
        <w:tc>
          <w:tcPr>
            <w:tcW w:w="2500" w:type="dxa"/>
          </w:tcPr>
          <w:p w14:paraId="13B8888E" w14:textId="45BB4E76" w:rsidR="00DB560E" w:rsidRDefault="00DB560E" w:rsidP="00DB560E">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(M, N, P) = (1, 1, 2)</w:t>
            </w:r>
          </w:p>
        </w:tc>
      </w:tr>
      <w:tr w:rsidR="00DB560E" w14:paraId="5C2091C9" w14:textId="77777777" w:rsidTr="00DC50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94" w:type="dxa"/>
          </w:tcPr>
          <w:p w14:paraId="3172D44E" w14:textId="1E5320C0" w:rsidR="00DB560E" w:rsidRDefault="00DB560E" w:rsidP="00DB560E">
            <w:pPr>
              <w:rPr>
                <w:sz w:val="22"/>
                <w:szCs w:val="22"/>
                <w:lang w:val="en-US" w:eastAsia="zh-CN"/>
              </w:rPr>
            </w:pPr>
            <w:r>
              <w:rPr>
                <w:sz w:val="22"/>
                <w:szCs w:val="22"/>
                <w:lang w:val="en-US" w:eastAsia="zh-CN"/>
              </w:rPr>
              <w:t>UE antenna structure</w:t>
            </w:r>
          </w:p>
        </w:tc>
        <w:tc>
          <w:tcPr>
            <w:tcW w:w="2500" w:type="dxa"/>
          </w:tcPr>
          <w:p w14:paraId="1D47875C" w14:textId="258E73F4" w:rsidR="00DB560E" w:rsidRDefault="00DB560E" w:rsidP="00DB560E">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(M, N, P) = (1, 1, 2)</w:t>
            </w:r>
          </w:p>
        </w:tc>
      </w:tr>
      <w:tr w:rsidR="00DB560E" w14:paraId="0AE6EDDC" w14:textId="77777777" w:rsidTr="00DC50B8">
        <w:trPr>
          <w:jc w:val="center"/>
        </w:trPr>
        <w:tc>
          <w:tcPr>
            <w:cnfStyle w:val="001000000000" w:firstRow="0" w:lastRow="0" w:firstColumn="1" w:lastColumn="0" w:oddVBand="0" w:evenVBand="0" w:oddHBand="0" w:evenHBand="0" w:firstRowFirstColumn="0" w:firstRowLastColumn="0" w:lastRowFirstColumn="0" w:lastRowLastColumn="0"/>
            <w:tcW w:w="2594" w:type="dxa"/>
          </w:tcPr>
          <w:p w14:paraId="6885C327" w14:textId="418A0A04" w:rsidR="00DB560E" w:rsidRDefault="00DB560E" w:rsidP="00DB560E">
            <w:pPr>
              <w:rPr>
                <w:sz w:val="22"/>
                <w:szCs w:val="22"/>
                <w:lang w:val="en-US" w:eastAsia="zh-CN"/>
              </w:rPr>
            </w:pPr>
            <w:r>
              <w:rPr>
                <w:sz w:val="22"/>
                <w:szCs w:val="22"/>
                <w:lang w:val="en-US" w:eastAsia="zh-CN"/>
              </w:rPr>
              <w:t>Subcarrier spacing</w:t>
            </w:r>
          </w:p>
        </w:tc>
        <w:tc>
          <w:tcPr>
            <w:tcW w:w="2500" w:type="dxa"/>
          </w:tcPr>
          <w:p w14:paraId="6E9CA806" w14:textId="57EB7933" w:rsidR="00DB560E" w:rsidRDefault="00DB560E" w:rsidP="00DB560E">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15 kHz</w:t>
            </w:r>
          </w:p>
        </w:tc>
      </w:tr>
      <w:tr w:rsidR="00DB560E" w14:paraId="729C4218" w14:textId="77777777" w:rsidTr="00DC50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94" w:type="dxa"/>
          </w:tcPr>
          <w:p w14:paraId="583FD82D" w14:textId="3FDFFE9B" w:rsidR="00DB560E" w:rsidRDefault="00DB560E" w:rsidP="00DB560E">
            <w:pPr>
              <w:rPr>
                <w:sz w:val="22"/>
                <w:szCs w:val="22"/>
                <w:lang w:val="en-US" w:eastAsia="zh-CN"/>
              </w:rPr>
            </w:pPr>
            <w:r>
              <w:rPr>
                <w:sz w:val="22"/>
                <w:szCs w:val="22"/>
                <w:lang w:val="en-US" w:eastAsia="zh-CN"/>
              </w:rPr>
              <w:t>Carrier frequency</w:t>
            </w:r>
          </w:p>
        </w:tc>
        <w:tc>
          <w:tcPr>
            <w:tcW w:w="2500" w:type="dxa"/>
          </w:tcPr>
          <w:p w14:paraId="24552C96" w14:textId="7605CF37" w:rsidR="00DB560E" w:rsidRDefault="00DB560E" w:rsidP="00DB560E">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3.5 GHz</w:t>
            </w:r>
          </w:p>
        </w:tc>
      </w:tr>
      <w:tr w:rsidR="00DB560E" w14:paraId="7168AECF" w14:textId="77777777" w:rsidTr="00DC50B8">
        <w:trPr>
          <w:jc w:val="center"/>
        </w:trPr>
        <w:tc>
          <w:tcPr>
            <w:cnfStyle w:val="001000000000" w:firstRow="0" w:lastRow="0" w:firstColumn="1" w:lastColumn="0" w:oddVBand="0" w:evenVBand="0" w:oddHBand="0" w:evenHBand="0" w:firstRowFirstColumn="0" w:firstRowLastColumn="0" w:lastRowFirstColumn="0" w:lastRowLastColumn="0"/>
            <w:tcW w:w="2594" w:type="dxa"/>
          </w:tcPr>
          <w:p w14:paraId="6FA0771F" w14:textId="59C692C2" w:rsidR="00DB560E" w:rsidRDefault="00DB560E" w:rsidP="00DB560E">
            <w:pPr>
              <w:rPr>
                <w:sz w:val="22"/>
                <w:szCs w:val="22"/>
                <w:lang w:val="en-US" w:eastAsia="zh-CN"/>
              </w:rPr>
            </w:pPr>
            <w:r>
              <w:rPr>
                <w:sz w:val="22"/>
                <w:szCs w:val="22"/>
                <w:lang w:val="en-US" w:eastAsia="zh-CN"/>
              </w:rPr>
              <w:t>System bandwidth</w:t>
            </w:r>
          </w:p>
        </w:tc>
        <w:tc>
          <w:tcPr>
            <w:tcW w:w="2500" w:type="dxa"/>
          </w:tcPr>
          <w:p w14:paraId="7A06C962" w14:textId="44BBDC78" w:rsidR="00DB560E" w:rsidRDefault="00DB560E" w:rsidP="00DB560E">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10 MHz</w:t>
            </w:r>
          </w:p>
        </w:tc>
      </w:tr>
      <w:tr w:rsidR="00DB560E" w14:paraId="6EB3ED29" w14:textId="77777777" w:rsidTr="00DC50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94" w:type="dxa"/>
          </w:tcPr>
          <w:p w14:paraId="58071EED" w14:textId="32F0BB07" w:rsidR="00DB560E" w:rsidRDefault="00DB560E" w:rsidP="00DB560E">
            <w:pPr>
              <w:rPr>
                <w:sz w:val="22"/>
                <w:szCs w:val="22"/>
                <w:lang w:val="en-US" w:eastAsia="zh-CN"/>
              </w:rPr>
            </w:pPr>
            <w:r>
              <w:rPr>
                <w:sz w:val="22"/>
                <w:szCs w:val="22"/>
                <w:lang w:val="en-US" w:eastAsia="zh-CN"/>
              </w:rPr>
              <w:t xml:space="preserve">Scheduler </w:t>
            </w:r>
          </w:p>
        </w:tc>
        <w:tc>
          <w:tcPr>
            <w:tcW w:w="2500" w:type="dxa"/>
          </w:tcPr>
          <w:p w14:paraId="243A6150" w14:textId="5843BC94" w:rsidR="00DB560E" w:rsidRDefault="00DB560E" w:rsidP="00DB560E">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PF</w:t>
            </w:r>
          </w:p>
        </w:tc>
      </w:tr>
      <w:tr w:rsidR="00DB560E" w14:paraId="333FF6B3" w14:textId="77777777" w:rsidTr="00DC50B8">
        <w:trPr>
          <w:jc w:val="center"/>
        </w:trPr>
        <w:tc>
          <w:tcPr>
            <w:cnfStyle w:val="001000000000" w:firstRow="0" w:lastRow="0" w:firstColumn="1" w:lastColumn="0" w:oddVBand="0" w:evenVBand="0" w:oddHBand="0" w:evenHBand="0" w:firstRowFirstColumn="0" w:firstRowLastColumn="0" w:lastRowFirstColumn="0" w:lastRowLastColumn="0"/>
            <w:tcW w:w="2594" w:type="dxa"/>
          </w:tcPr>
          <w:p w14:paraId="424F4366" w14:textId="18CAC2E2" w:rsidR="00DB560E" w:rsidRDefault="00DB560E" w:rsidP="00DB560E">
            <w:pPr>
              <w:rPr>
                <w:sz w:val="22"/>
                <w:szCs w:val="22"/>
                <w:lang w:val="en-US" w:eastAsia="zh-CN"/>
              </w:rPr>
            </w:pPr>
            <w:r>
              <w:rPr>
                <w:sz w:val="22"/>
                <w:szCs w:val="22"/>
                <w:lang w:val="en-US" w:eastAsia="zh-CN"/>
              </w:rPr>
              <w:t>Cell association</w:t>
            </w:r>
          </w:p>
        </w:tc>
        <w:tc>
          <w:tcPr>
            <w:tcW w:w="2500" w:type="dxa"/>
          </w:tcPr>
          <w:p w14:paraId="75D97A91" w14:textId="7287E8A7" w:rsidR="00DB560E" w:rsidRDefault="00DB560E" w:rsidP="00DB560E">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RSRP based</w:t>
            </w:r>
          </w:p>
        </w:tc>
      </w:tr>
      <w:tr w:rsidR="00DB560E" w14:paraId="0B6E985F" w14:textId="77777777" w:rsidTr="00DC50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94" w:type="dxa"/>
          </w:tcPr>
          <w:p w14:paraId="27F9F1DE" w14:textId="57324B5D" w:rsidR="00DB560E" w:rsidRDefault="00A24B4D" w:rsidP="00DB560E">
            <w:pPr>
              <w:rPr>
                <w:sz w:val="22"/>
                <w:szCs w:val="22"/>
                <w:lang w:val="en-US" w:eastAsia="zh-CN"/>
              </w:rPr>
            </w:pPr>
            <w:r>
              <w:rPr>
                <w:sz w:val="22"/>
                <w:szCs w:val="22"/>
                <w:lang w:val="en-US" w:eastAsia="zh-CN"/>
              </w:rPr>
              <w:t>gNB receiver</w:t>
            </w:r>
          </w:p>
        </w:tc>
        <w:tc>
          <w:tcPr>
            <w:tcW w:w="2500" w:type="dxa"/>
          </w:tcPr>
          <w:p w14:paraId="3AC0A45F" w14:textId="7CD659AB" w:rsidR="00DB560E" w:rsidRDefault="00A24B4D" w:rsidP="00DB560E">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MMSE-IRC</w:t>
            </w:r>
          </w:p>
        </w:tc>
      </w:tr>
      <w:tr w:rsidR="00DB560E" w14:paraId="7B3708C7" w14:textId="77777777" w:rsidTr="00DC50B8">
        <w:trPr>
          <w:jc w:val="center"/>
        </w:trPr>
        <w:tc>
          <w:tcPr>
            <w:cnfStyle w:val="001000000000" w:firstRow="0" w:lastRow="0" w:firstColumn="1" w:lastColumn="0" w:oddVBand="0" w:evenVBand="0" w:oddHBand="0" w:evenHBand="0" w:firstRowFirstColumn="0" w:firstRowLastColumn="0" w:lastRowFirstColumn="0" w:lastRowLastColumn="0"/>
            <w:tcW w:w="2594" w:type="dxa"/>
          </w:tcPr>
          <w:p w14:paraId="0D0FAEB3" w14:textId="5BC95E27" w:rsidR="00DB560E" w:rsidRDefault="00A24B4D" w:rsidP="00DB560E">
            <w:pPr>
              <w:rPr>
                <w:sz w:val="22"/>
                <w:szCs w:val="22"/>
                <w:lang w:val="en-US" w:eastAsia="zh-CN"/>
              </w:rPr>
            </w:pPr>
            <w:r>
              <w:rPr>
                <w:sz w:val="22"/>
                <w:szCs w:val="22"/>
                <w:lang w:val="en-US" w:eastAsia="zh-CN"/>
              </w:rPr>
              <w:t>UL power control</w:t>
            </w:r>
          </w:p>
        </w:tc>
        <w:tc>
          <w:tcPr>
            <w:tcW w:w="2500" w:type="dxa"/>
          </w:tcPr>
          <w:p w14:paraId="2DADAF9E" w14:textId="2A6296AA" w:rsidR="00DB560E" w:rsidRDefault="00A24B4D" w:rsidP="00DB560E">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P0=-100dBm, alpha=0.8</w:t>
            </w:r>
          </w:p>
        </w:tc>
      </w:tr>
      <w:tr w:rsidR="00DB560E" w14:paraId="5753767A" w14:textId="77777777" w:rsidTr="00DC50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94" w:type="dxa"/>
          </w:tcPr>
          <w:p w14:paraId="4695476B" w14:textId="26C54C62" w:rsidR="00DB560E" w:rsidRDefault="00A24B4D" w:rsidP="00DB560E">
            <w:pPr>
              <w:rPr>
                <w:sz w:val="22"/>
                <w:szCs w:val="22"/>
                <w:lang w:val="en-US" w:eastAsia="zh-CN"/>
              </w:rPr>
            </w:pPr>
            <w:r>
              <w:rPr>
                <w:sz w:val="22"/>
                <w:szCs w:val="22"/>
                <w:lang w:val="en-US" w:eastAsia="zh-CN"/>
              </w:rPr>
              <w:t>UE maximum Tx power</w:t>
            </w:r>
          </w:p>
        </w:tc>
        <w:tc>
          <w:tcPr>
            <w:tcW w:w="2500" w:type="dxa"/>
          </w:tcPr>
          <w:p w14:paraId="67E1AA69" w14:textId="54C49C66" w:rsidR="00DB560E" w:rsidRDefault="00A24B4D" w:rsidP="00DB560E">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23 dBm</w:t>
            </w:r>
          </w:p>
        </w:tc>
      </w:tr>
      <w:tr w:rsidR="00DB560E" w14:paraId="4DFDD839" w14:textId="77777777" w:rsidTr="00DC50B8">
        <w:trPr>
          <w:jc w:val="center"/>
        </w:trPr>
        <w:tc>
          <w:tcPr>
            <w:cnfStyle w:val="001000000000" w:firstRow="0" w:lastRow="0" w:firstColumn="1" w:lastColumn="0" w:oddVBand="0" w:evenVBand="0" w:oddHBand="0" w:evenHBand="0" w:firstRowFirstColumn="0" w:firstRowLastColumn="0" w:lastRowFirstColumn="0" w:lastRowLastColumn="0"/>
            <w:tcW w:w="2594" w:type="dxa"/>
          </w:tcPr>
          <w:p w14:paraId="3A92560C" w14:textId="0CC7CD50" w:rsidR="00DB560E" w:rsidRDefault="00A24B4D" w:rsidP="00DB560E">
            <w:pPr>
              <w:rPr>
                <w:sz w:val="22"/>
                <w:szCs w:val="22"/>
                <w:lang w:val="en-US" w:eastAsia="zh-CN"/>
              </w:rPr>
            </w:pPr>
            <w:r>
              <w:rPr>
                <w:sz w:val="22"/>
                <w:szCs w:val="22"/>
                <w:lang w:val="en-US" w:eastAsia="zh-CN"/>
              </w:rPr>
              <w:t xml:space="preserve">Waveform </w:t>
            </w:r>
          </w:p>
        </w:tc>
        <w:tc>
          <w:tcPr>
            <w:tcW w:w="2500" w:type="dxa"/>
          </w:tcPr>
          <w:p w14:paraId="1AFBEE9E" w14:textId="1D526F36" w:rsidR="00DB560E" w:rsidRDefault="00A24B4D" w:rsidP="00DB560E">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CP-OFDM</w:t>
            </w:r>
          </w:p>
        </w:tc>
      </w:tr>
      <w:tr w:rsidR="00DB560E" w14:paraId="7E9ED670" w14:textId="77777777" w:rsidTr="00DC50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94" w:type="dxa"/>
          </w:tcPr>
          <w:p w14:paraId="01FF11A1" w14:textId="4EFFA12D" w:rsidR="00DB560E" w:rsidRDefault="00A24B4D" w:rsidP="00DB560E">
            <w:pPr>
              <w:rPr>
                <w:sz w:val="22"/>
                <w:szCs w:val="22"/>
                <w:lang w:val="en-US" w:eastAsia="zh-CN"/>
              </w:rPr>
            </w:pPr>
            <w:r>
              <w:rPr>
                <w:sz w:val="22"/>
                <w:szCs w:val="22"/>
                <w:lang w:val="en-US" w:eastAsia="zh-CN"/>
              </w:rPr>
              <w:t>Maximum rank</w:t>
            </w:r>
          </w:p>
        </w:tc>
        <w:tc>
          <w:tcPr>
            <w:tcW w:w="2500" w:type="dxa"/>
          </w:tcPr>
          <w:p w14:paraId="3154005E" w14:textId="3FD721B3" w:rsidR="00DB560E" w:rsidRDefault="00A24B4D" w:rsidP="00DB560E">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1</w:t>
            </w:r>
          </w:p>
        </w:tc>
      </w:tr>
      <w:tr w:rsidR="00DB560E" w14:paraId="2C5F157D" w14:textId="77777777" w:rsidTr="00DC50B8">
        <w:trPr>
          <w:jc w:val="center"/>
        </w:trPr>
        <w:tc>
          <w:tcPr>
            <w:cnfStyle w:val="001000000000" w:firstRow="0" w:lastRow="0" w:firstColumn="1" w:lastColumn="0" w:oddVBand="0" w:evenVBand="0" w:oddHBand="0" w:evenHBand="0" w:firstRowFirstColumn="0" w:firstRowLastColumn="0" w:lastRowFirstColumn="0" w:lastRowLastColumn="0"/>
            <w:tcW w:w="2594" w:type="dxa"/>
          </w:tcPr>
          <w:p w14:paraId="7E16BAD4" w14:textId="32B1737B" w:rsidR="00DB560E" w:rsidRDefault="00A24B4D" w:rsidP="00DB560E">
            <w:pPr>
              <w:rPr>
                <w:sz w:val="22"/>
                <w:szCs w:val="22"/>
                <w:lang w:val="en-US" w:eastAsia="zh-CN"/>
              </w:rPr>
            </w:pPr>
            <w:r>
              <w:rPr>
                <w:sz w:val="22"/>
                <w:szCs w:val="22"/>
                <w:lang w:val="en-US" w:eastAsia="zh-CN"/>
              </w:rPr>
              <w:t>MIMO scheme</w:t>
            </w:r>
          </w:p>
        </w:tc>
        <w:tc>
          <w:tcPr>
            <w:tcW w:w="2500" w:type="dxa"/>
          </w:tcPr>
          <w:p w14:paraId="490A54AC" w14:textId="7340704F" w:rsidR="00DB560E" w:rsidRDefault="00A24B4D" w:rsidP="00DB560E">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SU-MIMO</w:t>
            </w:r>
          </w:p>
        </w:tc>
      </w:tr>
    </w:tbl>
    <w:p w14:paraId="05F538DC" w14:textId="77777777" w:rsidR="00DB560E" w:rsidRDefault="00DB560E" w:rsidP="00DB560E">
      <w:pPr>
        <w:rPr>
          <w:sz w:val="22"/>
          <w:szCs w:val="22"/>
          <w:lang w:val="en-US" w:eastAsia="zh-CN"/>
        </w:rPr>
      </w:pPr>
    </w:p>
    <w:sectPr w:rsidR="00DB560E" w:rsidSect="00733B1F">
      <w:headerReference w:type="even" r:id="rId28"/>
      <w:footerReference w:type="even" r:id="rId29"/>
      <w:footerReference w:type="default" r:id="rId3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81BDE" w14:textId="77777777" w:rsidR="00DB560E" w:rsidRDefault="00DB560E">
      <w:r>
        <w:separator/>
      </w:r>
    </w:p>
  </w:endnote>
  <w:endnote w:type="continuationSeparator" w:id="0">
    <w:p w14:paraId="52510DA8" w14:textId="77777777" w:rsidR="00DB560E" w:rsidRDefault="00DB5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674C8" w14:textId="77777777" w:rsidR="00DB560E" w:rsidRDefault="00DB560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DB560E" w:rsidRDefault="00DB560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34507" w14:textId="77777777" w:rsidR="00DB560E" w:rsidRDefault="00DB560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97C6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7C6B">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8978B" w14:textId="77777777" w:rsidR="00DB560E" w:rsidRDefault="00DB560E">
      <w:r>
        <w:separator/>
      </w:r>
    </w:p>
  </w:footnote>
  <w:footnote w:type="continuationSeparator" w:id="0">
    <w:p w14:paraId="20644D51" w14:textId="77777777" w:rsidR="00DB560E" w:rsidRDefault="00DB56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2CF55" w14:textId="77777777" w:rsidR="00DB560E" w:rsidRDefault="00DB560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6"/>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13"/>
  </w:num>
  <w:num w:numId="8">
    <w:abstractNumId w:val="2"/>
  </w:num>
  <w:num w:numId="9">
    <w:abstractNumId w:val="4"/>
  </w:num>
  <w:num w:numId="10">
    <w:abstractNumId w:val="12"/>
  </w:num>
  <w:num w:numId="11">
    <w:abstractNumId w:val="15"/>
  </w:num>
  <w:num w:numId="12">
    <w:abstractNumId w:val="3"/>
  </w:num>
  <w:num w:numId="13">
    <w:abstractNumId w:val="14"/>
  </w:num>
  <w:num w:numId="14">
    <w:abstractNumId w:val="8"/>
  </w:num>
  <w:num w:numId="15">
    <w:abstractNumId w:val="9"/>
  </w:num>
  <w:num w:numId="1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2B1F"/>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75D"/>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244"/>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8B9"/>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0B11"/>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5C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3E9"/>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0C9"/>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0B9E"/>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66"/>
    <w:rsid w:val="006763E2"/>
    <w:rsid w:val="006767B8"/>
    <w:rsid w:val="0067690C"/>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1D"/>
    <w:rsid w:val="006E0E60"/>
    <w:rsid w:val="006E0ED0"/>
    <w:rsid w:val="006E176F"/>
    <w:rsid w:val="006E1EE9"/>
    <w:rsid w:val="006E22CC"/>
    <w:rsid w:val="006E260B"/>
    <w:rsid w:val="006E2AA6"/>
    <w:rsid w:val="006E2F9C"/>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92"/>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8B3"/>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376"/>
    <w:rsid w:val="00827648"/>
    <w:rsid w:val="00827A41"/>
    <w:rsid w:val="00827AF3"/>
    <w:rsid w:val="00827CA7"/>
    <w:rsid w:val="0083056F"/>
    <w:rsid w:val="00830F16"/>
    <w:rsid w:val="00831198"/>
    <w:rsid w:val="008314BC"/>
    <w:rsid w:val="00831AB4"/>
    <w:rsid w:val="00831E08"/>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90C"/>
    <w:rsid w:val="009170CE"/>
    <w:rsid w:val="009171B7"/>
    <w:rsid w:val="009200D2"/>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16A"/>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9D9"/>
    <w:rsid w:val="00A94A70"/>
    <w:rsid w:val="00A94F5C"/>
    <w:rsid w:val="00A9505F"/>
    <w:rsid w:val="00A9526D"/>
    <w:rsid w:val="00A95445"/>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49A"/>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02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0EE"/>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D06"/>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0E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2A22"/>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C9C"/>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36F2"/>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6F5"/>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784"/>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67D0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1F"/>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AD9"/>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24"/>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5F6"/>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256"/>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8AC"/>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035"/>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09D2"/>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3AD1"/>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uiPriority w:val="99"/>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4B38E82-AC6A-463B-A747-E73B7A63A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1841</Words>
  <Characters>9991</Characters>
  <Application>Microsoft Office Word</Application>
  <DocSecurity>0</DocSecurity>
  <Lines>285</Lines>
  <Paragraphs>207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11625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2</cp:revision>
  <cp:lastPrinted>2011-11-09T07:49:00Z</cp:lastPrinted>
  <dcterms:created xsi:type="dcterms:W3CDTF">2019-05-02T00:30:00Z</dcterms:created>
  <dcterms:modified xsi:type="dcterms:W3CDTF">2019-05-02T00:30:00Z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4075d0ac-c0cd-4bc3-9d0c-51398b24b68e</vt:lpwstr>
  </property>
  <property fmtid="{D5CDD505-2E9C-101B-9397-08002B2CF9AE}" pid="10" name="CTP_BU">
    <vt:lpwstr/>
  </property>
  <property fmtid="{D5CDD505-2E9C-101B-9397-08002B2CF9AE}" pid="11" name="CTP_TimeStamp">
    <vt:lpwstr>2019-05-02 00:29:21Z</vt:lpwstr>
  </property>
  <property fmtid="{D5CDD505-2E9C-101B-9397-08002B2CF9AE}" pid="12" name="ContentTypeId">
    <vt:lpwstr>0x010100E7203326D341CE4C85D524438E4584D9</vt:lpwstr>
  </property>
  <property fmtid="{D5CDD505-2E9C-101B-9397-08002B2CF9AE}" pid="13" name="CTPClassification">
    <vt:lpwstr>CTP_IC</vt:lpwstr>
  </property>
</Properties>
</file>